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3382D" w14:textId="3B44922B" w:rsidR="00CA7A91" w:rsidRDefault="00CA7A91" w:rsidP="00CA7A91">
      <w:pPr>
        <w:pStyle w:val="p1"/>
        <w:jc w:val="center"/>
        <w:rPr>
          <w:rFonts w:ascii="Times New Roman" w:hAnsi="Times New Roman"/>
          <w:b/>
          <w:bCs/>
        </w:rPr>
      </w:pPr>
      <w:bookmarkStart w:id="0" w:name="gig_economy_platforms_and_worker_71a4da"/>
      <w:r w:rsidRPr="00CA7A91">
        <w:rPr>
          <w:rFonts w:ascii="Times New Roman" w:hAnsi="Times New Roman"/>
          <w:b/>
          <w:bCs/>
        </w:rPr>
        <w:t>NAT</w:t>
      </w:r>
      <w:r w:rsidR="001D32EE">
        <w:rPr>
          <w:rFonts w:ascii="Times New Roman" w:hAnsi="Times New Roman"/>
          <w:b/>
          <w:bCs/>
        </w:rPr>
        <w:t>IO</w:t>
      </w:r>
      <w:r w:rsidRPr="00CA7A91">
        <w:rPr>
          <w:rFonts w:ascii="Times New Roman" w:hAnsi="Times New Roman"/>
          <w:b/>
          <w:bCs/>
        </w:rPr>
        <w:t>NAL CONFERENCE</w:t>
      </w:r>
    </w:p>
    <w:p w14:paraId="46095E48" w14:textId="77777777" w:rsidR="00CA7A91" w:rsidRPr="00CA7A91" w:rsidRDefault="00CA7A91" w:rsidP="00CA7A91">
      <w:pPr>
        <w:pStyle w:val="p1"/>
        <w:jc w:val="center"/>
        <w:rPr>
          <w:rFonts w:ascii="Times New Roman" w:hAnsi="Times New Roman"/>
          <w:b/>
          <w:bCs/>
        </w:rPr>
      </w:pPr>
    </w:p>
    <w:p w14:paraId="409ED6DC" w14:textId="50A84EDE" w:rsidR="00CA7A91" w:rsidRDefault="00CA7A91" w:rsidP="00CA7A91">
      <w:pPr>
        <w:pStyle w:val="p2"/>
        <w:jc w:val="center"/>
        <w:rPr>
          <w:rFonts w:ascii="Times New Roman" w:hAnsi="Times New Roman"/>
          <w:b/>
          <w:bCs/>
        </w:rPr>
      </w:pPr>
      <w:r w:rsidRPr="00CA7A91">
        <w:rPr>
          <w:rFonts w:ascii="Times New Roman" w:hAnsi="Times New Roman"/>
          <w:b/>
          <w:bCs/>
        </w:rPr>
        <w:t>ON</w:t>
      </w:r>
    </w:p>
    <w:p w14:paraId="7FAD8271" w14:textId="77777777" w:rsidR="00CA7A91" w:rsidRPr="00CA7A91" w:rsidRDefault="00CA7A91" w:rsidP="00CA7A91">
      <w:pPr>
        <w:pStyle w:val="p2"/>
        <w:jc w:val="center"/>
        <w:rPr>
          <w:rFonts w:ascii="Times New Roman" w:hAnsi="Times New Roman"/>
          <w:b/>
          <w:bCs/>
        </w:rPr>
      </w:pPr>
    </w:p>
    <w:p w14:paraId="74CAC384" w14:textId="699A414B" w:rsidR="00CA7A91" w:rsidRPr="00CA7A91" w:rsidRDefault="00CA7A91" w:rsidP="00CA7A91">
      <w:pPr>
        <w:pStyle w:val="p3"/>
        <w:jc w:val="center"/>
        <w:rPr>
          <w:rFonts w:ascii="Times New Roman" w:hAnsi="Times New Roman"/>
          <w:b/>
          <w:bCs/>
        </w:rPr>
      </w:pPr>
      <w:r w:rsidRPr="00CA7A91">
        <w:rPr>
          <w:rFonts w:ascii="Times New Roman" w:hAnsi="Times New Roman"/>
          <w:b/>
          <w:bCs/>
        </w:rPr>
        <w:t xml:space="preserve">“ THE </w:t>
      </w:r>
      <w:r>
        <w:rPr>
          <w:rFonts w:ascii="Times New Roman" w:hAnsi="Times New Roman"/>
          <w:b/>
          <w:bCs/>
        </w:rPr>
        <w:t xml:space="preserve"> </w:t>
      </w:r>
      <w:r w:rsidRPr="00CA7A91">
        <w:rPr>
          <w:rFonts w:ascii="Times New Roman" w:hAnsi="Times New Roman"/>
          <w:b/>
          <w:bCs/>
        </w:rPr>
        <w:t xml:space="preserve">NEW </w:t>
      </w:r>
      <w:r>
        <w:rPr>
          <w:rFonts w:ascii="Times New Roman" w:hAnsi="Times New Roman"/>
          <w:b/>
          <w:bCs/>
        </w:rPr>
        <w:t xml:space="preserve"> </w:t>
      </w:r>
      <w:r w:rsidRPr="00CA7A91">
        <w:rPr>
          <w:rFonts w:ascii="Times New Roman" w:hAnsi="Times New Roman"/>
          <w:b/>
          <w:bCs/>
        </w:rPr>
        <w:t xml:space="preserve">LABOUR </w:t>
      </w:r>
      <w:r>
        <w:rPr>
          <w:rFonts w:ascii="Times New Roman" w:hAnsi="Times New Roman"/>
          <w:b/>
          <w:bCs/>
        </w:rPr>
        <w:t xml:space="preserve"> </w:t>
      </w:r>
      <w:r w:rsidRPr="00CA7A91">
        <w:rPr>
          <w:rFonts w:ascii="Times New Roman" w:hAnsi="Times New Roman"/>
          <w:b/>
          <w:bCs/>
        </w:rPr>
        <w:t>CO</w:t>
      </w:r>
      <w:r>
        <w:rPr>
          <w:rFonts w:ascii="Times New Roman" w:hAnsi="Times New Roman"/>
          <w:b/>
          <w:bCs/>
        </w:rPr>
        <w:t>DES: PROSPECTIVE, CONCERNS FOR HUMAN RIGHT</w:t>
      </w:r>
      <w:r w:rsidRPr="00CA7A91">
        <w:rPr>
          <w:rFonts w:ascii="Times New Roman" w:hAnsi="Times New Roman"/>
          <w:b/>
          <w:bCs/>
        </w:rPr>
        <w:t>S "</w:t>
      </w:r>
    </w:p>
    <w:p w14:paraId="4854A40E" w14:textId="77777777" w:rsidR="00CA7A91" w:rsidRDefault="00CA7A91" w:rsidP="000216B5">
      <w:pPr>
        <w:spacing w:before="240" w:line="360" w:lineRule="auto"/>
        <w:rPr>
          <w:rFonts w:ascii="Times New Roman" w:hAnsi="Times New Roman" w:cs="Times New Roman"/>
          <w:b/>
          <w:sz w:val="28"/>
          <w:szCs w:val="28"/>
        </w:rPr>
      </w:pPr>
    </w:p>
    <w:p w14:paraId="4C6354A3" w14:textId="77777777" w:rsidR="00CA7A91" w:rsidRDefault="00CA7A91" w:rsidP="000216B5">
      <w:pPr>
        <w:spacing w:before="240" w:line="360" w:lineRule="auto"/>
        <w:rPr>
          <w:rFonts w:ascii="Times New Roman" w:hAnsi="Times New Roman" w:cs="Times New Roman"/>
          <w:b/>
          <w:sz w:val="28"/>
          <w:szCs w:val="28"/>
        </w:rPr>
      </w:pPr>
    </w:p>
    <w:p w14:paraId="0B1316A7" w14:textId="0C6E3139" w:rsidR="00CA7A91" w:rsidRDefault="00CA7A91" w:rsidP="00CA7A91">
      <w:pPr>
        <w:spacing w:before="240" w:line="360" w:lineRule="auto"/>
        <w:jc w:val="center"/>
        <w:rPr>
          <w:rFonts w:ascii="Times New Roman" w:hAnsi="Times New Roman" w:cs="Times New Roman"/>
          <w:b/>
          <w:sz w:val="28"/>
          <w:szCs w:val="28"/>
        </w:rPr>
      </w:pPr>
      <w:r>
        <w:rPr>
          <w:rFonts w:ascii="Times New Roman" w:hAnsi="Times New Roman" w:cs="Times New Roman"/>
          <w:b/>
          <w:sz w:val="28"/>
          <w:szCs w:val="28"/>
        </w:rPr>
        <w:t>TITLE</w:t>
      </w:r>
    </w:p>
    <w:p w14:paraId="62B8F408" w14:textId="487A65ED" w:rsidR="000216B5" w:rsidRPr="006244E8" w:rsidRDefault="00CA7A91" w:rsidP="00CA7A91">
      <w:pPr>
        <w:spacing w:before="240" w:line="360" w:lineRule="auto"/>
        <w:jc w:val="center"/>
        <w:rPr>
          <w:rFonts w:ascii="Times New Roman" w:hAnsi="Times New Roman" w:cs="Times New Roman"/>
          <w:sz w:val="28"/>
          <w:szCs w:val="28"/>
        </w:rPr>
      </w:pPr>
      <w:r w:rsidRPr="00CA7A91">
        <w:rPr>
          <w:rFonts w:ascii="Times New Roman" w:hAnsi="Times New Roman" w:cs="Times New Roman"/>
          <w:b/>
          <w:sz w:val="28"/>
          <w:szCs w:val="28"/>
        </w:rPr>
        <w:t>GIG ECONOMY PLATFORMS AND WORKER CLASSIFICATION: BALANCING INNOVATION WITH HUMAN RIGHTS</w:t>
      </w:r>
      <w:bookmarkEnd w:id="0"/>
    </w:p>
    <w:p w14:paraId="04F819B9" w14:textId="77777777" w:rsidR="00CA7A91" w:rsidRDefault="00CA7A91" w:rsidP="000216B5">
      <w:pPr>
        <w:spacing w:after="210" w:line="360" w:lineRule="auto"/>
        <w:rPr>
          <w:rFonts w:ascii="Times New Roman" w:hAnsi="Times New Roman" w:cs="Times New Roman"/>
          <w:b/>
          <w:sz w:val="24"/>
          <w:szCs w:val="24"/>
        </w:rPr>
      </w:pPr>
    </w:p>
    <w:p w14:paraId="2ECEC2E3" w14:textId="77777777" w:rsidR="00CA7A91" w:rsidRDefault="00CA7A91" w:rsidP="000216B5">
      <w:pPr>
        <w:spacing w:after="210" w:line="360" w:lineRule="auto"/>
        <w:rPr>
          <w:rFonts w:ascii="Times New Roman" w:hAnsi="Times New Roman" w:cs="Times New Roman"/>
          <w:b/>
          <w:sz w:val="24"/>
          <w:szCs w:val="24"/>
        </w:rPr>
      </w:pPr>
    </w:p>
    <w:p w14:paraId="1EF53BDA" w14:textId="77777777" w:rsidR="00CA7A91" w:rsidRDefault="00CA7A91" w:rsidP="000216B5">
      <w:pPr>
        <w:spacing w:after="210" w:line="360" w:lineRule="auto"/>
        <w:rPr>
          <w:rFonts w:ascii="Times New Roman" w:hAnsi="Times New Roman" w:cs="Times New Roman"/>
          <w:b/>
          <w:sz w:val="24"/>
          <w:szCs w:val="24"/>
        </w:rPr>
      </w:pPr>
    </w:p>
    <w:p w14:paraId="1B83EB8B" w14:textId="77777777" w:rsidR="00CA7A91" w:rsidRDefault="00CA7A91" w:rsidP="000216B5">
      <w:pPr>
        <w:spacing w:after="210" w:line="360" w:lineRule="auto"/>
        <w:rPr>
          <w:rFonts w:ascii="Times New Roman" w:hAnsi="Times New Roman" w:cs="Times New Roman"/>
          <w:b/>
          <w:sz w:val="24"/>
          <w:szCs w:val="24"/>
        </w:rPr>
      </w:pPr>
    </w:p>
    <w:p w14:paraId="6C76D04A" w14:textId="3CFF7240" w:rsidR="000216B5" w:rsidRPr="006244E8" w:rsidRDefault="000216B5" w:rsidP="000216B5">
      <w:pPr>
        <w:spacing w:after="210" w:line="360" w:lineRule="auto"/>
        <w:rPr>
          <w:rFonts w:ascii="Times New Roman" w:hAnsi="Times New Roman" w:cs="Times New Roman"/>
          <w:sz w:val="24"/>
          <w:szCs w:val="24"/>
        </w:rPr>
      </w:pPr>
      <w:r w:rsidRPr="006244E8">
        <w:rPr>
          <w:rFonts w:ascii="Times New Roman" w:hAnsi="Times New Roman" w:cs="Times New Roman"/>
          <w:b/>
          <w:sz w:val="24"/>
          <w:szCs w:val="24"/>
        </w:rPr>
        <w:t>Author:</w:t>
      </w:r>
      <w:r w:rsidRPr="006244E8">
        <w:rPr>
          <w:rFonts w:ascii="Times New Roman" w:hAnsi="Times New Roman" w:cs="Times New Roman"/>
          <w:sz w:val="24"/>
          <w:szCs w:val="24"/>
        </w:rPr>
        <w:t xml:space="preserve"> Mayank A. Chandra</w:t>
      </w:r>
      <w:r w:rsidRPr="006244E8">
        <w:rPr>
          <w:rFonts w:ascii="Times New Roman" w:hAnsi="Times New Roman" w:cs="Times New Roman"/>
          <w:sz w:val="24"/>
          <w:szCs w:val="24"/>
        </w:rPr>
        <w:br/>
      </w:r>
      <w:r w:rsidRPr="006244E8">
        <w:rPr>
          <w:rFonts w:ascii="Times New Roman" w:hAnsi="Times New Roman" w:cs="Times New Roman"/>
          <w:b/>
          <w:sz w:val="24"/>
          <w:szCs w:val="24"/>
        </w:rPr>
        <w:t xml:space="preserve">Student, </w:t>
      </w:r>
      <w:r w:rsidRPr="00902364">
        <w:rPr>
          <w:rFonts w:ascii="Times New Roman" w:hAnsi="Times New Roman" w:cs="Times New Roman"/>
          <w:bCs/>
          <w:sz w:val="24"/>
          <w:szCs w:val="24"/>
        </w:rPr>
        <w:t>Christ Deemed to be University, Delhi-NCR</w:t>
      </w:r>
      <w:r w:rsidRPr="006244E8">
        <w:rPr>
          <w:rFonts w:ascii="Times New Roman" w:hAnsi="Times New Roman" w:cs="Times New Roman"/>
          <w:sz w:val="24"/>
          <w:szCs w:val="24"/>
        </w:rPr>
        <w:br/>
      </w:r>
      <w:r w:rsidRPr="006244E8">
        <w:rPr>
          <w:rFonts w:ascii="Times New Roman" w:hAnsi="Times New Roman" w:cs="Times New Roman"/>
          <w:b/>
          <w:sz w:val="24"/>
          <w:szCs w:val="24"/>
        </w:rPr>
        <w:t>Email:</w:t>
      </w:r>
      <w:r w:rsidRPr="006244E8">
        <w:rPr>
          <w:rFonts w:ascii="Times New Roman" w:hAnsi="Times New Roman" w:cs="Times New Roman"/>
          <w:sz w:val="24"/>
          <w:szCs w:val="24"/>
        </w:rPr>
        <w:t xml:space="preserve"> </w:t>
      </w:r>
      <w:hyperlink r:id="rId6">
        <w:r w:rsidRPr="006244E8">
          <w:rPr>
            <w:rFonts w:ascii="Times New Roman" w:eastAsia="Georgia" w:hAnsi="Times New Roman" w:cs="Times New Roman"/>
            <w:color w:val="4472C4"/>
            <w:sz w:val="24"/>
            <w:szCs w:val="24"/>
          </w:rPr>
          <w:t>mayank.a@law.christuniversity.in</w:t>
        </w:r>
      </w:hyperlink>
      <w:r w:rsidRPr="006244E8">
        <w:rPr>
          <w:rFonts w:ascii="Times New Roman" w:hAnsi="Times New Roman" w:cs="Times New Roman"/>
          <w:sz w:val="24"/>
          <w:szCs w:val="24"/>
        </w:rPr>
        <w:br/>
      </w:r>
      <w:r w:rsidRPr="006244E8">
        <w:rPr>
          <w:rFonts w:ascii="Times New Roman" w:hAnsi="Times New Roman" w:cs="Times New Roman"/>
          <w:b/>
          <w:sz w:val="24"/>
          <w:szCs w:val="24"/>
        </w:rPr>
        <w:t>Contact:</w:t>
      </w:r>
      <w:r w:rsidRPr="006244E8">
        <w:rPr>
          <w:rFonts w:ascii="Times New Roman" w:hAnsi="Times New Roman" w:cs="Times New Roman"/>
          <w:sz w:val="24"/>
          <w:szCs w:val="24"/>
        </w:rPr>
        <w:t xml:space="preserve"> 09811744396</w:t>
      </w:r>
    </w:p>
    <w:p w14:paraId="2BCDAB9B" w14:textId="77777777" w:rsidR="00CA7A91" w:rsidRDefault="00CA7A91" w:rsidP="000216B5">
      <w:pPr>
        <w:spacing w:after="210" w:line="360" w:lineRule="auto"/>
        <w:rPr>
          <w:rFonts w:ascii="Times New Roman" w:hAnsi="Times New Roman" w:cs="Times New Roman"/>
          <w:b/>
          <w:sz w:val="24"/>
          <w:szCs w:val="24"/>
        </w:rPr>
      </w:pPr>
    </w:p>
    <w:p w14:paraId="1DC70531" w14:textId="77777777" w:rsidR="00CA7A91" w:rsidRDefault="00CA7A91" w:rsidP="000216B5">
      <w:pPr>
        <w:spacing w:after="210" w:line="360" w:lineRule="auto"/>
        <w:rPr>
          <w:rFonts w:ascii="Times New Roman" w:hAnsi="Times New Roman" w:cs="Times New Roman"/>
          <w:b/>
          <w:sz w:val="24"/>
          <w:szCs w:val="24"/>
        </w:rPr>
      </w:pPr>
    </w:p>
    <w:p w14:paraId="25218A9D" w14:textId="0C3D1122" w:rsidR="000216B5" w:rsidRDefault="000216B5" w:rsidP="000216B5">
      <w:pPr>
        <w:spacing w:after="210" w:line="360" w:lineRule="auto"/>
      </w:pPr>
      <w:r w:rsidRPr="006244E8">
        <w:rPr>
          <w:rFonts w:ascii="Times New Roman" w:hAnsi="Times New Roman" w:cs="Times New Roman"/>
          <w:b/>
          <w:sz w:val="24"/>
          <w:szCs w:val="24"/>
        </w:rPr>
        <w:t>Co-author:</w:t>
      </w:r>
      <w:r w:rsidRPr="006244E8">
        <w:rPr>
          <w:rFonts w:ascii="Times New Roman" w:hAnsi="Times New Roman" w:cs="Times New Roman"/>
          <w:sz w:val="24"/>
          <w:szCs w:val="24"/>
        </w:rPr>
        <w:t xml:space="preserve"> Dr. </w:t>
      </w:r>
      <w:proofErr w:type="spellStart"/>
      <w:r w:rsidRPr="006244E8">
        <w:rPr>
          <w:rFonts w:ascii="Times New Roman" w:hAnsi="Times New Roman" w:cs="Times New Roman"/>
          <w:sz w:val="24"/>
          <w:szCs w:val="24"/>
        </w:rPr>
        <w:t>Vijaishree</w:t>
      </w:r>
      <w:proofErr w:type="spellEnd"/>
      <w:r w:rsidRPr="006244E8">
        <w:rPr>
          <w:rFonts w:ascii="Times New Roman" w:hAnsi="Times New Roman" w:cs="Times New Roman"/>
          <w:sz w:val="24"/>
          <w:szCs w:val="24"/>
        </w:rPr>
        <w:t xml:space="preserve"> Dubey Pandey</w:t>
      </w:r>
      <w:r w:rsidRPr="006244E8">
        <w:rPr>
          <w:rFonts w:ascii="Times New Roman" w:hAnsi="Times New Roman" w:cs="Times New Roman"/>
          <w:sz w:val="24"/>
          <w:szCs w:val="24"/>
        </w:rPr>
        <w:br/>
      </w:r>
      <w:r w:rsidRPr="006244E8">
        <w:rPr>
          <w:rFonts w:ascii="Times New Roman" w:hAnsi="Times New Roman" w:cs="Times New Roman"/>
          <w:b/>
          <w:sz w:val="24"/>
          <w:szCs w:val="24"/>
        </w:rPr>
        <w:t>Affiliation:</w:t>
      </w:r>
      <w:r w:rsidRPr="006244E8">
        <w:rPr>
          <w:rFonts w:ascii="Times New Roman" w:hAnsi="Times New Roman" w:cs="Times New Roman"/>
          <w:sz w:val="24"/>
          <w:szCs w:val="24"/>
        </w:rPr>
        <w:t xml:space="preserve"> Christ Deemed to be University, Delhi-NCR</w:t>
      </w:r>
      <w:r w:rsidRPr="006244E8">
        <w:rPr>
          <w:rFonts w:ascii="Times New Roman" w:hAnsi="Times New Roman" w:cs="Times New Roman"/>
          <w:sz w:val="24"/>
          <w:szCs w:val="24"/>
        </w:rPr>
        <w:br/>
      </w:r>
      <w:r w:rsidRPr="006244E8">
        <w:rPr>
          <w:rFonts w:ascii="Times New Roman" w:hAnsi="Times New Roman" w:cs="Times New Roman"/>
          <w:b/>
          <w:sz w:val="24"/>
          <w:szCs w:val="24"/>
        </w:rPr>
        <w:t>Email:</w:t>
      </w:r>
      <w:r w:rsidRPr="006244E8">
        <w:rPr>
          <w:rFonts w:ascii="Times New Roman" w:hAnsi="Times New Roman" w:cs="Times New Roman"/>
          <w:sz w:val="24"/>
          <w:szCs w:val="24"/>
        </w:rPr>
        <w:t xml:space="preserve"> </w:t>
      </w:r>
      <w:hyperlink r:id="rId7">
        <w:r w:rsidRPr="006244E8">
          <w:rPr>
            <w:rFonts w:ascii="Times New Roman" w:eastAsia="Georgia" w:hAnsi="Times New Roman" w:cs="Times New Roman"/>
            <w:color w:val="4472C4"/>
            <w:sz w:val="24"/>
            <w:szCs w:val="24"/>
          </w:rPr>
          <w:t>vijaishree@pandey.gmail.com</w:t>
        </w:r>
      </w:hyperlink>
    </w:p>
    <w:p w14:paraId="431EE650" w14:textId="77777777" w:rsidR="00CA7A91" w:rsidRDefault="00CA7A91" w:rsidP="000216B5">
      <w:pPr>
        <w:spacing w:after="210" w:line="360" w:lineRule="auto"/>
      </w:pPr>
    </w:p>
    <w:p w14:paraId="41A1F13A" w14:textId="77777777" w:rsidR="00CA7A91" w:rsidRDefault="00CA7A91" w:rsidP="000216B5">
      <w:pPr>
        <w:spacing w:after="210" w:line="360" w:lineRule="auto"/>
      </w:pPr>
    </w:p>
    <w:p w14:paraId="7DB740A9" w14:textId="77777777" w:rsidR="00CA7A91" w:rsidRDefault="00CA7A91" w:rsidP="000216B5">
      <w:pPr>
        <w:spacing w:before="240" w:line="360" w:lineRule="auto"/>
        <w:jc w:val="both"/>
      </w:pPr>
      <w:bookmarkStart w:id="1" w:name="abstract"/>
    </w:p>
    <w:p w14:paraId="67BF8389" w14:textId="77777777" w:rsidR="00CA7A91" w:rsidRDefault="00CA7A91" w:rsidP="000216B5">
      <w:pPr>
        <w:spacing w:before="240" w:line="360" w:lineRule="auto"/>
        <w:jc w:val="both"/>
      </w:pPr>
    </w:p>
    <w:p w14:paraId="3C83AC91" w14:textId="7A38952B" w:rsidR="000216B5" w:rsidRPr="006244E8" w:rsidRDefault="000216B5" w:rsidP="000216B5">
      <w:pPr>
        <w:spacing w:before="240" w:line="360" w:lineRule="auto"/>
        <w:jc w:val="both"/>
        <w:rPr>
          <w:rFonts w:ascii="Times New Roman" w:hAnsi="Times New Roman" w:cs="Times New Roman"/>
          <w:sz w:val="28"/>
          <w:szCs w:val="28"/>
        </w:rPr>
      </w:pPr>
      <w:r w:rsidRPr="006244E8">
        <w:rPr>
          <w:rFonts w:ascii="Times New Roman" w:hAnsi="Times New Roman" w:cs="Times New Roman"/>
          <w:b/>
          <w:sz w:val="28"/>
          <w:szCs w:val="28"/>
        </w:rPr>
        <w:t>Abstract</w:t>
      </w:r>
      <w:bookmarkEnd w:id="1"/>
    </w:p>
    <w:p w14:paraId="22800BDF" w14:textId="77777777"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The traditional landscape of work has been transformed by the advantageous nature of the digital intermediary, such as Uber, Ola, Swiggy and Zomato, which has influenced the old work patterns of the post-</w:t>
      </w:r>
      <w:proofErr w:type="spellStart"/>
      <w:r w:rsidRPr="006244E8">
        <w:rPr>
          <w:rFonts w:ascii="Times New Roman" w:hAnsi="Times New Roman" w:cs="Times New Roman"/>
          <w:sz w:val="24"/>
          <w:szCs w:val="24"/>
        </w:rPr>
        <w:t>liberalisation</w:t>
      </w:r>
      <w:proofErr w:type="spellEnd"/>
      <w:r w:rsidRPr="006244E8">
        <w:rPr>
          <w:rFonts w:ascii="Times New Roman" w:hAnsi="Times New Roman" w:cs="Times New Roman"/>
          <w:sz w:val="24"/>
          <w:szCs w:val="24"/>
        </w:rPr>
        <w:t xml:space="preserve"> period with flexible and innovative working. However, the new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codes (Code on Social Security, 2020 and the Industrial Relations Code, 2020) complicate the process of </w:t>
      </w:r>
      <w:proofErr w:type="spellStart"/>
      <w:r w:rsidRPr="006244E8">
        <w:rPr>
          <w:rFonts w:ascii="Times New Roman" w:hAnsi="Times New Roman" w:cs="Times New Roman"/>
          <w:sz w:val="24"/>
          <w:szCs w:val="24"/>
        </w:rPr>
        <w:t>categorising</w:t>
      </w:r>
      <w:proofErr w:type="spellEnd"/>
      <w:r w:rsidRPr="006244E8">
        <w:rPr>
          <w:rFonts w:ascii="Times New Roman" w:hAnsi="Times New Roman" w:cs="Times New Roman"/>
          <w:sz w:val="24"/>
          <w:szCs w:val="24"/>
        </w:rPr>
        <w:t xml:space="preserve"> workers. The laws are more likely to be applied </w:t>
      </w:r>
      <w:proofErr w:type="gramStart"/>
      <w:r w:rsidRPr="006244E8">
        <w:rPr>
          <w:rFonts w:ascii="Times New Roman" w:hAnsi="Times New Roman" w:cs="Times New Roman"/>
          <w:sz w:val="24"/>
          <w:szCs w:val="24"/>
        </w:rPr>
        <w:t>in order to</w:t>
      </w:r>
      <w:proofErr w:type="gramEnd"/>
      <w:r w:rsidRPr="006244E8">
        <w:rPr>
          <w:rFonts w:ascii="Times New Roman" w:hAnsi="Times New Roman" w:cs="Times New Roman"/>
          <w:sz w:val="24"/>
          <w:szCs w:val="24"/>
        </w:rPr>
        <w:t xml:space="preserve"> categorize the gig employees as independent contractors with no basic human rights safeguards to consider such provisions of fair remuneration, social security benefits, the right to collective bargaining or protection against being subjected to oppressive working conditions. Accordingly, the rules diminish the distance between workers and employees, which makes the informal economy that more vulnerable. The question that this paper asks is how it is possible to go wrong, the promotion of technological innovation can still be seen as the one that does not have a place in this society, however, the human right is the right safeguarded by the Indian Constitution in Article 21 that ensures the dignity and livelihood. It is based on principle case law, including The Union of the Democratic Rights of people v., on which this discourse is founded. </w:t>
      </w:r>
      <w:proofErr w:type="gramStart"/>
      <w:r w:rsidRPr="006244E8">
        <w:rPr>
          <w:rFonts w:ascii="Times New Roman" w:hAnsi="Times New Roman" w:cs="Times New Roman"/>
          <w:sz w:val="24"/>
          <w:szCs w:val="24"/>
        </w:rPr>
        <w:t>Union of India,</w:t>
      </w:r>
      <w:proofErr w:type="gramEnd"/>
      <w:r w:rsidRPr="006244E8">
        <w:rPr>
          <w:rFonts w:ascii="Times New Roman" w:hAnsi="Times New Roman" w:cs="Times New Roman"/>
          <w:sz w:val="24"/>
          <w:szCs w:val="24"/>
        </w:rPr>
        <w:t xml:space="preserve"> is a critical analysis of the non-determinant nature of the Codes under the ambiguity of definition in terms of </w:t>
      </w:r>
      <w:proofErr w:type="spellStart"/>
      <w:r w:rsidRPr="006244E8">
        <w:rPr>
          <w:rFonts w:ascii="Times New Roman" w:hAnsi="Times New Roman" w:cs="Times New Roman"/>
          <w:sz w:val="24"/>
          <w:szCs w:val="24"/>
        </w:rPr>
        <w:t>destabilisation</w:t>
      </w:r>
      <w:proofErr w:type="spellEnd"/>
      <w:r w:rsidRPr="006244E8">
        <w:rPr>
          <w:rFonts w:ascii="Times New Roman" w:hAnsi="Times New Roman" w:cs="Times New Roman"/>
          <w:sz w:val="24"/>
          <w:szCs w:val="24"/>
        </w:rPr>
        <w:t xml:space="preserve"> of the informal economy. The rights-based approach to platform architecture is reformed using the ILO Convention 98 on collective bargaining. Platforms should be </w:t>
      </w:r>
      <w:proofErr w:type="gramStart"/>
      <w:r w:rsidRPr="006244E8">
        <w:rPr>
          <w:rFonts w:ascii="Times New Roman" w:hAnsi="Times New Roman" w:cs="Times New Roman"/>
          <w:sz w:val="24"/>
          <w:szCs w:val="24"/>
        </w:rPr>
        <w:t>registered,</w:t>
      </w:r>
      <w:proofErr w:type="gramEnd"/>
      <w:r w:rsidRPr="006244E8">
        <w:rPr>
          <w:rFonts w:ascii="Times New Roman" w:hAnsi="Times New Roman" w:cs="Times New Roman"/>
          <w:sz w:val="24"/>
          <w:szCs w:val="24"/>
        </w:rPr>
        <w:t xml:space="preserve"> algorithmic transparency and hybrid worker-status should be implemented to balance the economic development and social justice as policy recommendations. Being left to stand their ground, the codes as they are currently in force dangerously engage in further inequality and breach the Sustainable Development Goals regarding decent work, and more urgent steps are requested </w:t>
      </w:r>
      <w:proofErr w:type="gramStart"/>
      <w:r w:rsidRPr="006244E8">
        <w:rPr>
          <w:rFonts w:ascii="Times New Roman" w:hAnsi="Times New Roman" w:cs="Times New Roman"/>
          <w:sz w:val="24"/>
          <w:szCs w:val="24"/>
        </w:rPr>
        <w:t>in order to</w:t>
      </w:r>
      <w:proofErr w:type="gramEnd"/>
      <w:r w:rsidRPr="006244E8">
        <w:rPr>
          <w:rFonts w:ascii="Times New Roman" w:hAnsi="Times New Roman" w:cs="Times New Roman"/>
          <w:sz w:val="24"/>
          <w:szCs w:val="24"/>
        </w:rPr>
        <w:t xml:space="preserve"> sustain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rights as an etiquette in the digital era. </w:t>
      </w:r>
    </w:p>
    <w:p w14:paraId="255431A5" w14:textId="77777777" w:rsidR="000216B5" w:rsidRPr="006244E8" w:rsidRDefault="000216B5" w:rsidP="000216B5">
      <w:pPr>
        <w:spacing w:line="360" w:lineRule="auto"/>
        <w:jc w:val="both"/>
        <w:rPr>
          <w:rFonts w:ascii="Times New Roman" w:hAnsi="Times New Roman" w:cs="Times New Roman"/>
          <w:sz w:val="24"/>
          <w:szCs w:val="24"/>
        </w:rPr>
      </w:pPr>
    </w:p>
    <w:p w14:paraId="2A01534C" w14:textId="77777777"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b/>
          <w:bCs/>
          <w:sz w:val="26"/>
          <w:szCs w:val="26"/>
        </w:rPr>
        <w:t>Key Words:</w:t>
      </w:r>
      <w:r w:rsidRPr="006244E8">
        <w:rPr>
          <w:rFonts w:ascii="Times New Roman" w:hAnsi="Times New Roman" w:cs="Times New Roman"/>
          <w:sz w:val="24"/>
          <w:szCs w:val="24"/>
        </w:rPr>
        <w:t xml:space="preserve"> Gig Economy, the classification of workers,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codes 2020, human rights, social security, platform work, algorithmic management, article 21, collective bargaining, decent work. </w:t>
      </w:r>
    </w:p>
    <w:p w14:paraId="4D467971" w14:textId="77777777" w:rsidR="00645CB3" w:rsidRPr="006244E8" w:rsidRDefault="00645CB3" w:rsidP="000216B5">
      <w:pPr>
        <w:spacing w:line="360" w:lineRule="auto"/>
        <w:jc w:val="both"/>
        <w:rPr>
          <w:rFonts w:ascii="Times New Roman" w:hAnsi="Times New Roman" w:cs="Times New Roman"/>
          <w:sz w:val="24"/>
          <w:szCs w:val="24"/>
        </w:rPr>
      </w:pPr>
    </w:p>
    <w:p w14:paraId="0FE5419C" w14:textId="77777777" w:rsidR="000216B5" w:rsidRPr="006244E8" w:rsidRDefault="000216B5" w:rsidP="000216B5">
      <w:pPr>
        <w:spacing w:line="360" w:lineRule="auto"/>
        <w:jc w:val="both"/>
        <w:rPr>
          <w:rFonts w:ascii="Times New Roman" w:hAnsi="Times New Roman" w:cs="Times New Roman"/>
          <w:b/>
          <w:bCs/>
          <w:sz w:val="28"/>
          <w:szCs w:val="28"/>
        </w:rPr>
      </w:pPr>
      <w:r w:rsidRPr="006244E8">
        <w:rPr>
          <w:rFonts w:ascii="Times New Roman" w:hAnsi="Times New Roman" w:cs="Times New Roman"/>
          <w:b/>
          <w:bCs/>
          <w:sz w:val="28"/>
          <w:szCs w:val="28"/>
        </w:rPr>
        <w:lastRenderedPageBreak/>
        <w:t xml:space="preserve">I. Introduction. </w:t>
      </w:r>
    </w:p>
    <w:p w14:paraId="6912BD95" w14:textId="78AB5AA7" w:rsidR="000216B5" w:rsidRPr="006244E8"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b/>
          <w:bCs/>
          <w:sz w:val="26"/>
          <w:szCs w:val="26"/>
        </w:rPr>
        <w:t>A. Background and Context</w:t>
      </w:r>
    </w:p>
    <w:p w14:paraId="0EFFFB03" w14:textId="654FB2A4"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internet revolution has transformed the face of Indian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market significantly. Ride-hailing (Uber, Ola), food delivery (Swiggy, Zomato), and logistics services - those are usually included in the platform-based sector of the gig economy since the economy has been opened up and has created employment to about 7.7 million individuals in 2020-21 in this light and also estimates 23.5 million by 2029-30, the services provide 1.25% of GDP </w:t>
      </w:r>
      <w:r w:rsidR="006D3B4E">
        <w:rPr>
          <w:rStyle w:val="FootnoteReference"/>
          <w:rFonts w:ascii="Times New Roman" w:hAnsi="Times New Roman" w:cs="Times New Roman"/>
          <w:sz w:val="24"/>
          <w:szCs w:val="24"/>
        </w:rPr>
        <w:footnoteReference w:id="1"/>
      </w:r>
      <w:r w:rsidRPr="006244E8">
        <w:rPr>
          <w:rFonts w:ascii="Times New Roman" w:hAnsi="Times New Roman" w:cs="Times New Roman"/>
          <w:sz w:val="24"/>
          <w:szCs w:val="24"/>
        </w:rPr>
        <w:t>. Flexible and entrepreneurial by nature, gig work entrenches precarity, eroding workers of the employment statutes most affluent jobs possess. The legal fiction offered by the business model of platforms that form the gig economy is that workers are independent contractors</w:t>
      </w:r>
      <w:r w:rsidR="006D3B4E">
        <w:rPr>
          <w:rStyle w:val="FootnoteReference"/>
          <w:rFonts w:ascii="Times New Roman" w:hAnsi="Times New Roman" w:cs="Times New Roman"/>
          <w:sz w:val="24"/>
          <w:szCs w:val="24"/>
        </w:rPr>
        <w:footnoteReference w:id="2"/>
      </w:r>
      <w:r w:rsidRPr="006244E8">
        <w:rPr>
          <w:rFonts w:ascii="Times New Roman" w:hAnsi="Times New Roman" w:cs="Times New Roman"/>
          <w:sz w:val="24"/>
          <w:szCs w:val="24"/>
        </w:rPr>
        <w:t xml:space="preserve"> and not employees, which means that they do not require minimum wages, provident fund, gratuity, leave and safety</w:t>
      </w:r>
      <w:r w:rsidR="006D3B4E">
        <w:rPr>
          <w:rStyle w:val="FootnoteReference"/>
          <w:rFonts w:ascii="Times New Roman" w:hAnsi="Times New Roman" w:cs="Times New Roman"/>
          <w:sz w:val="24"/>
          <w:szCs w:val="24"/>
        </w:rPr>
        <w:footnoteReference w:id="3"/>
      </w:r>
      <w:r w:rsidRPr="006244E8">
        <w:rPr>
          <w:rFonts w:ascii="Times New Roman" w:hAnsi="Times New Roman" w:cs="Times New Roman"/>
          <w:sz w:val="24"/>
          <w:szCs w:val="24"/>
        </w:rPr>
        <w:t xml:space="preserve">. </w:t>
      </w:r>
    </w:p>
    <w:p w14:paraId="01E8DFFB" w14:textId="5F3A3F10"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This type of indecision in classification is a form of regulatory arbitrage, by taking advantage of definitional gaps in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law</w:t>
      </w:r>
      <w:r w:rsidR="006D3B4E">
        <w:rPr>
          <w:rStyle w:val="FootnoteReference"/>
          <w:rFonts w:ascii="Times New Roman" w:hAnsi="Times New Roman" w:cs="Times New Roman"/>
          <w:sz w:val="24"/>
          <w:szCs w:val="24"/>
        </w:rPr>
        <w:footnoteReference w:id="4"/>
      </w:r>
      <w:r w:rsidRPr="006244E8">
        <w:rPr>
          <w:rFonts w:ascii="Times New Roman" w:hAnsi="Times New Roman" w:cs="Times New Roman"/>
          <w:sz w:val="24"/>
          <w:szCs w:val="24"/>
        </w:rPr>
        <w:t xml:space="preserve">. On the legislative front, the Code on Social Security, 2020 (CSS 2020) and the Industrial Relations Code, 2020 (IRC 2020) was one of the initial efforts to legislate in platform workers </w:t>
      </w:r>
      <w:proofErr w:type="gramStart"/>
      <w:r w:rsidRPr="006244E8">
        <w:rPr>
          <w:rFonts w:ascii="Times New Roman" w:hAnsi="Times New Roman" w:cs="Times New Roman"/>
          <w:sz w:val="24"/>
          <w:szCs w:val="24"/>
        </w:rPr>
        <w:t>in order to</w:t>
      </w:r>
      <w:proofErr w:type="gramEnd"/>
      <w:r w:rsidRPr="006244E8">
        <w:rPr>
          <w:rFonts w:ascii="Times New Roman" w:hAnsi="Times New Roman" w:cs="Times New Roman"/>
          <w:sz w:val="24"/>
          <w:szCs w:val="24"/>
        </w:rPr>
        <w:t xml:space="preserve"> provide certain protection</w:t>
      </w:r>
      <w:r w:rsidR="006D3B4E">
        <w:rPr>
          <w:rStyle w:val="FootnoteReference"/>
          <w:rFonts w:ascii="Times New Roman" w:hAnsi="Times New Roman" w:cs="Times New Roman"/>
          <w:sz w:val="24"/>
          <w:szCs w:val="24"/>
        </w:rPr>
        <w:footnoteReference w:id="5"/>
      </w:r>
      <w:r w:rsidRPr="006244E8">
        <w:rPr>
          <w:rFonts w:ascii="Times New Roman" w:hAnsi="Times New Roman" w:cs="Times New Roman"/>
          <w:sz w:val="24"/>
          <w:szCs w:val="24"/>
        </w:rPr>
        <w:t xml:space="preserve">. Nevertheless, Codes can just add to the vagueness of definition, </w:t>
      </w:r>
      <w:proofErr w:type="spellStart"/>
      <w:r w:rsidRPr="006244E8">
        <w:rPr>
          <w:rFonts w:ascii="Times New Roman" w:hAnsi="Times New Roman" w:cs="Times New Roman"/>
          <w:sz w:val="24"/>
          <w:szCs w:val="24"/>
        </w:rPr>
        <w:t>subjectivization</w:t>
      </w:r>
      <w:proofErr w:type="spellEnd"/>
      <w:r w:rsidRPr="006244E8">
        <w:rPr>
          <w:rFonts w:ascii="Times New Roman" w:hAnsi="Times New Roman" w:cs="Times New Roman"/>
          <w:sz w:val="24"/>
          <w:szCs w:val="24"/>
        </w:rPr>
        <w:t xml:space="preserve"> and a lack of meaning when it comes to dealing with algorithmic control</w:t>
      </w:r>
      <w:r w:rsidR="006D3B4E">
        <w:rPr>
          <w:rStyle w:val="FootnoteReference"/>
          <w:rFonts w:ascii="Times New Roman" w:hAnsi="Times New Roman" w:cs="Times New Roman"/>
          <w:sz w:val="24"/>
          <w:szCs w:val="24"/>
        </w:rPr>
        <w:footnoteReference w:id="6"/>
      </w:r>
      <w:r w:rsidRPr="006244E8">
        <w:rPr>
          <w:rFonts w:ascii="Times New Roman" w:hAnsi="Times New Roman" w:cs="Times New Roman"/>
          <w:sz w:val="24"/>
          <w:szCs w:val="24"/>
        </w:rPr>
        <w:t>. The Codes introduce the concept of the categories: a gig worker and a platform worker, but not quite the employee, which deprives the workers of the right to collective bargaining, a formal dispute resolution mechanism, and an enforceable minimum wage</w:t>
      </w:r>
      <w:r w:rsidR="006D3B4E">
        <w:rPr>
          <w:rStyle w:val="FootnoteReference"/>
          <w:rFonts w:ascii="Times New Roman" w:hAnsi="Times New Roman" w:cs="Times New Roman"/>
          <w:sz w:val="24"/>
          <w:szCs w:val="24"/>
        </w:rPr>
        <w:footnoteReference w:id="7"/>
      </w:r>
      <w:r w:rsidRPr="006244E8">
        <w:rPr>
          <w:rFonts w:ascii="Times New Roman" w:hAnsi="Times New Roman" w:cs="Times New Roman"/>
          <w:sz w:val="24"/>
          <w:szCs w:val="24"/>
        </w:rPr>
        <w:t xml:space="preserve">. </w:t>
      </w:r>
    </w:p>
    <w:p w14:paraId="5DE53FBA" w14:textId="77777777" w:rsidR="000216B5" w:rsidRPr="006244E8"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b/>
          <w:bCs/>
          <w:sz w:val="26"/>
          <w:szCs w:val="26"/>
        </w:rPr>
        <w:t>B. Human Rights Implications</w:t>
      </w:r>
    </w:p>
    <w:p w14:paraId="3ECAAE78" w14:textId="2D84D101"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This administrative confusion has extended implications on human rights. Article 21 of the Constitution entitles the right to a </w:t>
      </w:r>
      <w:proofErr w:type="gramStart"/>
      <w:r w:rsidRPr="006244E8">
        <w:rPr>
          <w:rFonts w:ascii="Times New Roman" w:hAnsi="Times New Roman" w:cs="Times New Roman"/>
          <w:sz w:val="24"/>
          <w:szCs w:val="24"/>
        </w:rPr>
        <w:t>livelihood</w:t>
      </w:r>
      <w:proofErr w:type="gramEnd"/>
      <w:r w:rsidRPr="006244E8">
        <w:rPr>
          <w:rFonts w:ascii="Times New Roman" w:hAnsi="Times New Roman" w:cs="Times New Roman"/>
          <w:sz w:val="24"/>
          <w:szCs w:val="24"/>
        </w:rPr>
        <w:t xml:space="preserve"> and this right is a right to work in an open and </w:t>
      </w:r>
      <w:r w:rsidRPr="006244E8">
        <w:rPr>
          <w:rFonts w:ascii="Times New Roman" w:hAnsi="Times New Roman" w:cs="Times New Roman"/>
          <w:sz w:val="24"/>
          <w:szCs w:val="24"/>
        </w:rPr>
        <w:lastRenderedPageBreak/>
        <w:t xml:space="preserve">secure environment </w:t>
      </w:r>
      <w:r w:rsidR="006D3B4E">
        <w:rPr>
          <w:rStyle w:val="FootnoteReference"/>
          <w:rFonts w:ascii="Times New Roman" w:hAnsi="Times New Roman" w:cs="Times New Roman"/>
          <w:sz w:val="24"/>
          <w:szCs w:val="24"/>
        </w:rPr>
        <w:footnoteReference w:id="8"/>
      </w:r>
      <w:r w:rsidRPr="006244E8">
        <w:rPr>
          <w:rFonts w:ascii="Times New Roman" w:hAnsi="Times New Roman" w:cs="Times New Roman"/>
          <w:sz w:val="24"/>
          <w:szCs w:val="24"/>
        </w:rPr>
        <w:t xml:space="preserve">. People's Union for Democratic Rights v. </w:t>
      </w:r>
      <w:proofErr w:type="spellStart"/>
      <w:r w:rsidRPr="006244E8">
        <w:rPr>
          <w:rFonts w:ascii="Times New Roman" w:hAnsi="Times New Roman" w:cs="Times New Roman"/>
          <w:sz w:val="24"/>
          <w:szCs w:val="24"/>
        </w:rPr>
        <w:t>Bandhua</w:t>
      </w:r>
      <w:proofErr w:type="spellEnd"/>
      <w:r w:rsidRPr="006244E8">
        <w:rPr>
          <w:rFonts w:ascii="Times New Roman" w:hAnsi="Times New Roman" w:cs="Times New Roman"/>
          <w:sz w:val="24"/>
          <w:szCs w:val="24"/>
        </w:rPr>
        <w:t xml:space="preserve"> </w:t>
      </w:r>
      <w:proofErr w:type="spellStart"/>
      <w:r w:rsidRPr="006244E8">
        <w:rPr>
          <w:rFonts w:ascii="Times New Roman" w:hAnsi="Times New Roman" w:cs="Times New Roman"/>
          <w:sz w:val="24"/>
          <w:szCs w:val="24"/>
        </w:rPr>
        <w:t>mukti</w:t>
      </w:r>
      <w:proofErr w:type="spellEnd"/>
      <w:r w:rsidRPr="006244E8">
        <w:rPr>
          <w:rFonts w:ascii="Times New Roman" w:hAnsi="Times New Roman" w:cs="Times New Roman"/>
          <w:sz w:val="24"/>
          <w:szCs w:val="24"/>
        </w:rPr>
        <w:t xml:space="preserve"> </w:t>
      </w:r>
      <w:proofErr w:type="spellStart"/>
      <w:r w:rsidRPr="006244E8">
        <w:rPr>
          <w:rFonts w:ascii="Times New Roman" w:hAnsi="Times New Roman" w:cs="Times New Roman"/>
          <w:sz w:val="24"/>
          <w:szCs w:val="24"/>
        </w:rPr>
        <w:t>morcha</w:t>
      </w:r>
      <w:proofErr w:type="spellEnd"/>
      <w:r w:rsidRPr="006244E8">
        <w:rPr>
          <w:rFonts w:ascii="Times New Roman" w:hAnsi="Times New Roman" w:cs="Times New Roman"/>
          <w:sz w:val="24"/>
          <w:szCs w:val="24"/>
        </w:rPr>
        <w:t xml:space="preserve"> v. Union of India. The Supreme Court ruled that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rights are basically basic human rights</w:t>
      </w:r>
      <w:r w:rsidR="006D3B4E">
        <w:rPr>
          <w:rStyle w:val="FootnoteReference"/>
          <w:rFonts w:ascii="Times New Roman" w:hAnsi="Times New Roman" w:cs="Times New Roman"/>
          <w:sz w:val="24"/>
          <w:szCs w:val="24"/>
        </w:rPr>
        <w:footnoteReference w:id="9"/>
      </w:r>
      <w:r w:rsidRPr="006244E8">
        <w:rPr>
          <w:rFonts w:ascii="Times New Roman" w:hAnsi="Times New Roman" w:cs="Times New Roman"/>
          <w:sz w:val="24"/>
          <w:szCs w:val="24"/>
        </w:rPr>
        <w:t xml:space="preserve">. </w:t>
      </w:r>
    </w:p>
    <w:p w14:paraId="009411A8" w14:textId="542A53C1"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Still platform workers are not included, their labor remains invisible, their time goes to waste and unpaid and obscure algorithmic control</w:t>
      </w:r>
      <w:r w:rsidR="006D3B4E">
        <w:rPr>
          <w:rStyle w:val="FootnoteReference"/>
          <w:rFonts w:ascii="Times New Roman" w:hAnsi="Times New Roman" w:cs="Times New Roman"/>
          <w:sz w:val="24"/>
          <w:szCs w:val="24"/>
        </w:rPr>
        <w:footnoteReference w:id="10"/>
      </w:r>
      <w:r w:rsidRPr="006244E8">
        <w:rPr>
          <w:rFonts w:ascii="Times New Roman" w:hAnsi="Times New Roman" w:cs="Times New Roman"/>
          <w:sz w:val="24"/>
          <w:szCs w:val="24"/>
        </w:rPr>
        <w:t xml:space="preserve">. </w:t>
      </w:r>
    </w:p>
    <w:p w14:paraId="4B760843" w14:textId="0134A7E7" w:rsidR="000216B5" w:rsidRPr="006244E8"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b/>
          <w:bCs/>
          <w:sz w:val="26"/>
          <w:szCs w:val="26"/>
        </w:rPr>
        <w:t>C. Scope and Structure</w:t>
      </w:r>
    </w:p>
    <w:p w14:paraId="5D203194" w14:textId="77777777"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We discuss the legal workers of the gig economy under the groups of labor, extent, human rights, limits on collective bargaining, algorithmic management, and the proposal of reforms. </w:t>
      </w:r>
    </w:p>
    <w:p w14:paraId="1CCAFF6E" w14:textId="77777777"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Part II analyses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Codes 2020. </w:t>
      </w:r>
    </w:p>
    <w:p w14:paraId="05B59496" w14:textId="77777777"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Part III examines the implication of human rights under Article 21 jurisprudence. </w:t>
      </w:r>
    </w:p>
    <w:p w14:paraId="24D01087" w14:textId="77777777"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Part IV examines collective bargaining and ILO Convention 98. </w:t>
      </w:r>
    </w:p>
    <w:p w14:paraId="4F15E947" w14:textId="77777777"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Part V is a discussion of algorithmic management and accountability, </w:t>
      </w:r>
    </w:p>
    <w:p w14:paraId="0C436937" w14:textId="77777777"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Part VI offers suggestions concerning reform, and </w:t>
      </w:r>
    </w:p>
    <w:p w14:paraId="0A27CEF5" w14:textId="16A32808"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Part VII concludes. </w:t>
      </w:r>
    </w:p>
    <w:p w14:paraId="343B3910" w14:textId="77777777" w:rsidR="000216B5" w:rsidRPr="006244E8" w:rsidRDefault="000216B5" w:rsidP="000216B5">
      <w:pPr>
        <w:spacing w:line="360" w:lineRule="auto"/>
        <w:jc w:val="both"/>
        <w:rPr>
          <w:rFonts w:ascii="Times New Roman" w:hAnsi="Times New Roman" w:cs="Times New Roman"/>
          <w:sz w:val="24"/>
          <w:szCs w:val="24"/>
        </w:rPr>
      </w:pPr>
    </w:p>
    <w:p w14:paraId="5F08ED28" w14:textId="6C591BD6" w:rsidR="000216B5" w:rsidRPr="006244E8" w:rsidRDefault="000216B5" w:rsidP="000216B5">
      <w:pPr>
        <w:spacing w:line="360" w:lineRule="auto"/>
        <w:jc w:val="both"/>
        <w:rPr>
          <w:rFonts w:ascii="Times New Roman" w:hAnsi="Times New Roman" w:cs="Times New Roman"/>
          <w:b/>
          <w:bCs/>
          <w:sz w:val="28"/>
          <w:szCs w:val="28"/>
        </w:rPr>
      </w:pPr>
      <w:r w:rsidRPr="006244E8">
        <w:rPr>
          <w:rFonts w:ascii="Times New Roman" w:hAnsi="Times New Roman" w:cs="Times New Roman"/>
          <w:b/>
          <w:bCs/>
          <w:sz w:val="28"/>
          <w:szCs w:val="28"/>
        </w:rPr>
        <w:t>II. Statement of Problem</w:t>
      </w:r>
    </w:p>
    <w:p w14:paraId="747F0945" w14:textId="77777777"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Indian gig economy is facing a huge regulatory paradox - The law that is meant to safeguard the sector has failed to be executed well and the gig workers are still vulnerable to exploitation, lack of income and other fundamental rights to work as the platforms have given rise to millions of jobs and also contributed to the growth of the Gross Domestic Product (GDP). The overarching issue occurs on three dimensions, which are linked to one another: </w:t>
      </w:r>
    </w:p>
    <w:p w14:paraId="489391EE" w14:textId="082A9D9C"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To begin with, the ambiguity between the CSS 2020 and the IRC 2020 results in a regulatory grey zone that puts platform workers beyond the conventional worker rights - they receive selective, aspirational social security provisions. The definition of a gig worker in CSS 2020 Section 2(35) states that a "gig worker" is a person who undertakes work or is engaged in a work arrangement and receives compensation </w:t>
      </w:r>
      <w:proofErr w:type="gramStart"/>
      <w:r w:rsidRPr="006244E8">
        <w:rPr>
          <w:rFonts w:ascii="Times New Roman" w:hAnsi="Times New Roman" w:cs="Times New Roman"/>
          <w:sz w:val="24"/>
          <w:szCs w:val="24"/>
        </w:rPr>
        <w:t>as a result of</w:t>
      </w:r>
      <w:proofErr w:type="gramEnd"/>
      <w:r w:rsidRPr="006244E8">
        <w:rPr>
          <w:rFonts w:ascii="Times New Roman" w:hAnsi="Times New Roman" w:cs="Times New Roman"/>
          <w:sz w:val="24"/>
          <w:szCs w:val="24"/>
        </w:rPr>
        <w:t xml:space="preserve"> such work that is not considered to </w:t>
      </w:r>
      <w:r w:rsidRPr="006244E8">
        <w:rPr>
          <w:rFonts w:ascii="Times New Roman" w:hAnsi="Times New Roman" w:cs="Times New Roman"/>
          <w:sz w:val="24"/>
          <w:szCs w:val="24"/>
        </w:rPr>
        <w:lastRenderedPageBreak/>
        <w:t>be a part of the customary employer-employee relationship</w:t>
      </w:r>
      <w:r w:rsidR="006D3B4E">
        <w:rPr>
          <w:rStyle w:val="FootnoteReference"/>
          <w:rFonts w:ascii="Times New Roman" w:hAnsi="Times New Roman" w:cs="Times New Roman"/>
          <w:sz w:val="24"/>
          <w:szCs w:val="24"/>
        </w:rPr>
        <w:footnoteReference w:id="11"/>
      </w:r>
      <w:r w:rsidRPr="006244E8">
        <w:rPr>
          <w:rFonts w:ascii="Times New Roman" w:hAnsi="Times New Roman" w:cs="Times New Roman"/>
          <w:sz w:val="24"/>
          <w:szCs w:val="24"/>
        </w:rPr>
        <w:t>. Secondly, Section 2(62) provides the definition of platform worker as someone involved or who engages in platform work</w:t>
      </w:r>
      <w:r w:rsidR="006D3B4E">
        <w:rPr>
          <w:rStyle w:val="FootnoteReference"/>
          <w:rFonts w:ascii="Times New Roman" w:hAnsi="Times New Roman" w:cs="Times New Roman"/>
          <w:sz w:val="24"/>
          <w:szCs w:val="24"/>
        </w:rPr>
        <w:footnoteReference w:id="12"/>
      </w:r>
      <w:r w:rsidRPr="006244E8">
        <w:rPr>
          <w:rFonts w:ascii="Times New Roman" w:hAnsi="Times New Roman" w:cs="Times New Roman"/>
          <w:sz w:val="24"/>
          <w:szCs w:val="24"/>
        </w:rPr>
        <w:t>. These definitions however fail to explain the requirements that a platform employer and employee should possess in determining whether it is an employment status, thus liberating the platform to design arrangements without any statutory obligations</w:t>
      </w:r>
      <w:r w:rsidR="006D3B4E">
        <w:rPr>
          <w:rStyle w:val="FootnoteReference"/>
          <w:rFonts w:ascii="Times New Roman" w:hAnsi="Times New Roman" w:cs="Times New Roman"/>
          <w:sz w:val="24"/>
          <w:szCs w:val="24"/>
        </w:rPr>
        <w:footnoteReference w:id="13"/>
      </w:r>
      <w:r w:rsidRPr="006244E8">
        <w:rPr>
          <w:rFonts w:ascii="Times New Roman" w:hAnsi="Times New Roman" w:cs="Times New Roman"/>
          <w:sz w:val="24"/>
          <w:szCs w:val="24"/>
        </w:rPr>
        <w:t xml:space="preserve">. </w:t>
      </w:r>
    </w:p>
    <w:p w14:paraId="4AA1FB02" w14:textId="608FC30B"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Second, algorithmic management systems exercise ubiquitous control over employees in terms of assigning tasks, evaluation of performance, dynamic pricing and deactivation that are achieved based on opaque automated systems which workers cannot anticipate, comprehend, or challenge. This algorithmic sovereignty undermines legal guarantees: employees can legally insist on the provision of benefits but when the distribution of tasks, or incomes, is automated to reduce costs, the rights do not gain any important practical protection</w:t>
      </w:r>
      <w:r w:rsidR="006D3B4E">
        <w:rPr>
          <w:rStyle w:val="FootnoteReference"/>
          <w:rFonts w:ascii="Times New Roman" w:hAnsi="Times New Roman" w:cs="Times New Roman"/>
          <w:sz w:val="24"/>
          <w:szCs w:val="24"/>
        </w:rPr>
        <w:footnoteReference w:id="14"/>
      </w:r>
      <w:r w:rsidRPr="006244E8">
        <w:rPr>
          <w:rFonts w:ascii="Times New Roman" w:hAnsi="Times New Roman" w:cs="Times New Roman"/>
          <w:sz w:val="24"/>
          <w:szCs w:val="24"/>
        </w:rPr>
        <w:t>.</w:t>
      </w:r>
    </w:p>
    <w:p w14:paraId="43275EDB" w14:textId="7F258A94"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Lastly, the implementation loopholes continue to make workers unable to achieve the promised social security benefits. </w:t>
      </w:r>
      <w:proofErr w:type="gramStart"/>
      <w:r w:rsidRPr="006244E8">
        <w:rPr>
          <w:rFonts w:ascii="Times New Roman" w:hAnsi="Times New Roman" w:cs="Times New Roman"/>
          <w:sz w:val="24"/>
          <w:szCs w:val="24"/>
        </w:rPr>
        <w:t>Despite the fact that</w:t>
      </w:r>
      <w:proofErr w:type="gramEnd"/>
      <w:r w:rsidRPr="006244E8">
        <w:rPr>
          <w:rFonts w:ascii="Times New Roman" w:hAnsi="Times New Roman" w:cs="Times New Roman"/>
          <w:sz w:val="24"/>
          <w:szCs w:val="24"/>
        </w:rPr>
        <w:t xml:space="preserve"> CSS 2020 has also stipulated life and disability cover, health and maternity benefits, old age protection and accident insurance that is being provided by aggregator contributions (1-2% of annual turnover)</w:t>
      </w:r>
      <w:r w:rsidR="006D3B4E">
        <w:rPr>
          <w:rStyle w:val="FootnoteReference"/>
          <w:rFonts w:ascii="Times New Roman" w:hAnsi="Times New Roman" w:cs="Times New Roman"/>
          <w:sz w:val="24"/>
          <w:szCs w:val="24"/>
        </w:rPr>
        <w:footnoteReference w:id="15"/>
      </w:r>
      <w:r w:rsidRPr="006244E8">
        <w:rPr>
          <w:rFonts w:ascii="Times New Roman" w:hAnsi="Times New Roman" w:cs="Times New Roman"/>
          <w:sz w:val="24"/>
          <w:szCs w:val="24"/>
        </w:rPr>
        <w:t>, workers have very little knowledge of the entitlements and virtually no experience in using the benefits</w:t>
      </w:r>
      <w:r w:rsidR="006D3B4E">
        <w:rPr>
          <w:rStyle w:val="FootnoteReference"/>
          <w:rFonts w:ascii="Times New Roman" w:hAnsi="Times New Roman" w:cs="Times New Roman"/>
          <w:sz w:val="24"/>
          <w:szCs w:val="24"/>
        </w:rPr>
        <w:footnoteReference w:id="16"/>
      </w:r>
      <w:r w:rsidRPr="006244E8">
        <w:rPr>
          <w:rFonts w:ascii="Times New Roman" w:hAnsi="Times New Roman" w:cs="Times New Roman"/>
          <w:sz w:val="24"/>
          <w:szCs w:val="24"/>
        </w:rPr>
        <w:t>. The e-Shram registration portal is hard to reach, because of the issue of outreach, enrollment and delivery, particularly to the workers, including women</w:t>
      </w:r>
      <w:r w:rsidR="006D3B4E">
        <w:rPr>
          <w:rStyle w:val="FootnoteReference"/>
          <w:rFonts w:ascii="Times New Roman" w:hAnsi="Times New Roman" w:cs="Times New Roman"/>
          <w:sz w:val="24"/>
          <w:szCs w:val="24"/>
        </w:rPr>
        <w:footnoteReference w:id="17"/>
      </w:r>
      <w:r w:rsidRPr="006244E8">
        <w:rPr>
          <w:rFonts w:ascii="Times New Roman" w:hAnsi="Times New Roman" w:cs="Times New Roman"/>
          <w:sz w:val="24"/>
          <w:szCs w:val="24"/>
        </w:rPr>
        <w:t xml:space="preserve">. </w:t>
      </w:r>
    </w:p>
    <w:p w14:paraId="586EDD4F" w14:textId="6C53A2C5" w:rsidR="000216B5" w:rsidRDefault="000216B5" w:rsidP="000216B5">
      <w:pPr>
        <w:spacing w:line="360" w:lineRule="auto"/>
        <w:jc w:val="both"/>
        <w:rPr>
          <w:rFonts w:ascii="Times New Roman" w:hAnsi="Times New Roman" w:cs="Times New Roman"/>
          <w:sz w:val="24"/>
          <w:szCs w:val="24"/>
        </w:rPr>
      </w:pPr>
      <w:proofErr w:type="gramStart"/>
      <w:r w:rsidRPr="006244E8">
        <w:rPr>
          <w:rFonts w:ascii="Times New Roman" w:hAnsi="Times New Roman" w:cs="Times New Roman"/>
          <w:sz w:val="24"/>
          <w:szCs w:val="24"/>
        </w:rPr>
        <w:t>All of</w:t>
      </w:r>
      <w:proofErr w:type="gramEnd"/>
      <w:r w:rsidRPr="006244E8">
        <w:rPr>
          <w:rFonts w:ascii="Times New Roman" w:hAnsi="Times New Roman" w:cs="Times New Roman"/>
          <w:sz w:val="24"/>
          <w:szCs w:val="24"/>
        </w:rPr>
        <w:t xml:space="preserve"> </w:t>
      </w:r>
      <w:proofErr w:type="gramStart"/>
      <w:r w:rsidRPr="006244E8">
        <w:rPr>
          <w:rFonts w:ascii="Times New Roman" w:hAnsi="Times New Roman" w:cs="Times New Roman"/>
          <w:sz w:val="24"/>
          <w:szCs w:val="24"/>
        </w:rPr>
        <w:t>this interrelations</w:t>
      </w:r>
      <w:proofErr w:type="gramEnd"/>
      <w:r w:rsidRPr="006244E8">
        <w:rPr>
          <w:rFonts w:ascii="Times New Roman" w:hAnsi="Times New Roman" w:cs="Times New Roman"/>
          <w:sz w:val="24"/>
          <w:szCs w:val="24"/>
        </w:rPr>
        <w:t xml:space="preserve"> result in systematic violation of constitutionally assured rights as stated in Article 21 (life and livelihood with dignity), Article 14 (equality), and Article 23 (prohibition of forced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and as such, contravene India's international obligations to the ILO Convention No. 98 and International Covenant on Economic, Social and Cultural Rights (ICESCR)</w:t>
      </w:r>
      <w:r w:rsidR="006D3B4E">
        <w:rPr>
          <w:rStyle w:val="FootnoteReference"/>
          <w:rFonts w:ascii="Times New Roman" w:hAnsi="Times New Roman" w:cs="Times New Roman"/>
          <w:sz w:val="24"/>
          <w:szCs w:val="24"/>
        </w:rPr>
        <w:footnoteReference w:id="18"/>
      </w:r>
      <w:r w:rsidRPr="006244E8">
        <w:rPr>
          <w:rFonts w:ascii="Times New Roman" w:hAnsi="Times New Roman" w:cs="Times New Roman"/>
          <w:sz w:val="24"/>
          <w:szCs w:val="24"/>
        </w:rPr>
        <w:t xml:space="preserve">. </w:t>
      </w:r>
    </w:p>
    <w:p w14:paraId="35484926" w14:textId="77777777" w:rsidR="00645CB3" w:rsidRDefault="00645CB3" w:rsidP="000216B5">
      <w:pPr>
        <w:spacing w:line="360" w:lineRule="auto"/>
        <w:jc w:val="both"/>
        <w:rPr>
          <w:rFonts w:ascii="Times New Roman" w:hAnsi="Times New Roman" w:cs="Times New Roman"/>
          <w:sz w:val="24"/>
          <w:szCs w:val="24"/>
        </w:rPr>
      </w:pPr>
    </w:p>
    <w:p w14:paraId="5B58850D" w14:textId="77777777" w:rsidR="00645CB3" w:rsidRPr="006244E8" w:rsidRDefault="00645CB3" w:rsidP="000216B5">
      <w:pPr>
        <w:spacing w:line="360" w:lineRule="auto"/>
        <w:jc w:val="both"/>
        <w:rPr>
          <w:rFonts w:ascii="Times New Roman" w:hAnsi="Times New Roman" w:cs="Times New Roman"/>
          <w:sz w:val="24"/>
          <w:szCs w:val="24"/>
        </w:rPr>
      </w:pPr>
    </w:p>
    <w:p w14:paraId="302D132A" w14:textId="2843D4F6" w:rsidR="000216B5" w:rsidRPr="006244E8" w:rsidRDefault="000216B5" w:rsidP="000216B5">
      <w:pPr>
        <w:spacing w:line="360" w:lineRule="auto"/>
        <w:jc w:val="both"/>
        <w:rPr>
          <w:rFonts w:ascii="Times New Roman" w:hAnsi="Times New Roman" w:cs="Times New Roman"/>
          <w:b/>
          <w:bCs/>
          <w:sz w:val="28"/>
          <w:szCs w:val="28"/>
        </w:rPr>
      </w:pPr>
      <w:r w:rsidRPr="006244E8">
        <w:rPr>
          <w:rFonts w:ascii="Times New Roman" w:hAnsi="Times New Roman" w:cs="Times New Roman"/>
          <w:b/>
          <w:bCs/>
          <w:sz w:val="28"/>
          <w:szCs w:val="28"/>
        </w:rPr>
        <w:lastRenderedPageBreak/>
        <w:t>III. Literature Review</w:t>
      </w:r>
    </w:p>
    <w:p w14:paraId="0F66D2D6" w14:textId="74419805" w:rsidR="000216B5" w:rsidRPr="006244E8" w:rsidRDefault="000216B5" w:rsidP="000216B5">
      <w:pPr>
        <w:rPr>
          <w:b/>
          <w:bCs/>
          <w:sz w:val="26"/>
          <w:szCs w:val="26"/>
        </w:rPr>
      </w:pPr>
      <w:r w:rsidRPr="006244E8">
        <w:rPr>
          <w:b/>
          <w:bCs/>
          <w:sz w:val="26"/>
          <w:szCs w:val="26"/>
        </w:rPr>
        <w:t xml:space="preserve">A. Joe Atkinson and Natalie Sedacca, </w:t>
      </w:r>
      <w:proofErr w:type="spellStart"/>
      <w:r w:rsidRPr="006244E8">
        <w:rPr>
          <w:b/>
          <w:bCs/>
          <w:sz w:val="26"/>
          <w:szCs w:val="26"/>
        </w:rPr>
        <w:t>Realising</w:t>
      </w:r>
      <w:proofErr w:type="spellEnd"/>
      <w:r w:rsidRPr="006244E8">
        <w:rPr>
          <w:b/>
          <w:bCs/>
          <w:sz w:val="26"/>
          <w:szCs w:val="26"/>
        </w:rPr>
        <w:t xml:space="preserve"> Decent Work for Platform Workers: A Human Rights Perspective</w:t>
      </w:r>
    </w:p>
    <w:p w14:paraId="76B310A3" w14:textId="12735589" w:rsidR="000216B5" w:rsidRPr="006244E8"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b/>
          <w:bCs/>
          <w:sz w:val="26"/>
          <w:szCs w:val="26"/>
        </w:rPr>
        <w:t>Summary of Article</w:t>
      </w:r>
    </w:p>
    <w:p w14:paraId="4E92468F" w14:textId="492E5636" w:rsidR="000216B5" w:rsidRPr="006244E8" w:rsidRDefault="006D3B4E" w:rsidP="000216B5">
      <w:pPr>
        <w:spacing w:line="360" w:lineRule="auto"/>
        <w:jc w:val="both"/>
        <w:rPr>
          <w:rFonts w:ascii="Times New Roman" w:hAnsi="Times New Roman" w:cs="Times New Roman"/>
          <w:sz w:val="24"/>
          <w:szCs w:val="24"/>
        </w:rPr>
      </w:pPr>
      <w:r>
        <w:rPr>
          <w:rFonts w:ascii="Times New Roman" w:hAnsi="Times New Roman" w:cs="Times New Roman"/>
          <w:sz w:val="24"/>
          <w:szCs w:val="24"/>
        </w:rPr>
        <w:t>As</w:t>
      </w:r>
      <w:r w:rsidR="000216B5" w:rsidRPr="006244E8">
        <w:rPr>
          <w:rFonts w:ascii="Times New Roman" w:hAnsi="Times New Roman" w:cs="Times New Roman"/>
          <w:sz w:val="24"/>
          <w:szCs w:val="24"/>
        </w:rPr>
        <w:t xml:space="preserve"> expressed by Atkinson and Sedacca (2025) in Transnational Legal Theory: Since the approach to the regulation of platform work should be based on human rights, they propose it as more generally applicable than classification-based employment status</w:t>
      </w:r>
      <w:r>
        <w:rPr>
          <w:rStyle w:val="FootnoteReference"/>
          <w:rFonts w:ascii="Times New Roman" w:hAnsi="Times New Roman" w:cs="Times New Roman"/>
          <w:sz w:val="24"/>
          <w:szCs w:val="24"/>
        </w:rPr>
        <w:footnoteReference w:id="19"/>
      </w:r>
      <w:r w:rsidR="000216B5" w:rsidRPr="006244E8">
        <w:rPr>
          <w:rFonts w:ascii="Times New Roman" w:hAnsi="Times New Roman" w:cs="Times New Roman"/>
          <w:sz w:val="24"/>
          <w:szCs w:val="24"/>
        </w:rPr>
        <w:t xml:space="preserve">. The authors also concede the dangers of human rights approaches which they also state as the state-dominance, individualistic thinking, indeterminacy and the assumption that they cannot amend structural inequality but maintain that they are overstated in the case of human rights being formulated as collective dimensions, positive state responsibilities and structural changes that challenge the platform strength. </w:t>
      </w:r>
    </w:p>
    <w:p w14:paraId="5CA9B3D7" w14:textId="4BC769CE"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They employ platform domestic work (cleaning, childcare, eldercare) as a hard case to demonstrate how various vulnerabilities (feminized devaluation of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sectoral exclusions, low algorithmic control in market models, unpaid profile-building) interact and are susceptible to human rights solutions.</w:t>
      </w:r>
      <w:r w:rsidR="006D3B4E">
        <w:rPr>
          <w:rStyle w:val="FootnoteReference"/>
          <w:rFonts w:ascii="Times New Roman" w:hAnsi="Times New Roman" w:cs="Times New Roman"/>
          <w:sz w:val="24"/>
          <w:szCs w:val="24"/>
        </w:rPr>
        <w:footnoteReference w:id="20"/>
      </w:r>
      <w:r w:rsidRPr="006244E8">
        <w:rPr>
          <w:rFonts w:ascii="Times New Roman" w:hAnsi="Times New Roman" w:cs="Times New Roman"/>
          <w:sz w:val="24"/>
          <w:szCs w:val="24"/>
        </w:rPr>
        <w:t xml:space="preserve">. </w:t>
      </w:r>
    </w:p>
    <w:p w14:paraId="75651B6A" w14:textId="7635E0A5" w:rsidR="000216B5" w:rsidRPr="006244E8"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b/>
          <w:bCs/>
          <w:sz w:val="26"/>
          <w:szCs w:val="26"/>
        </w:rPr>
        <w:t>Relevance to This Paper</w:t>
      </w:r>
    </w:p>
    <w:p w14:paraId="42D9A951" w14:textId="054F6799"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author underlines the significance of protection of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and systematic reforms to access fair market based on law and social frameworks. This has direct application to our article since it provides a normative theoretical argument that puts the platform worker protections into an international human rights framework, as opposed to a domestic legal status examination of the employment status test. In the case of Indian gig economy workers whose status is uncertain in accordance with CSS 2020 and IRC 2020, Atkinson and Sedacca asserting that human rights presuppose normative duties of the state to control private platforms and extend these protections to individuals not employed as conventional employees offers a constitutional route through Article 21 jurisprudence: that is, it offers guidance on the judicial recognition that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rights are fundamental human rights irrespective of the formal nature in the employment of the workers in question, so that civil society per se could seek to establish positive duties </w:t>
      </w:r>
      <w:r w:rsidR="006D3B4E">
        <w:t>for the regulation of private platforms</w:t>
      </w:r>
      <w:r w:rsidR="006D3B4E">
        <w:rPr>
          <w:rFonts w:ascii="Times New Roman" w:hAnsi="Times New Roman" w:cs="Times New Roman"/>
          <w:sz w:val="24"/>
          <w:szCs w:val="24"/>
        </w:rPr>
        <w:t>.</w:t>
      </w:r>
      <w:r w:rsidRPr="006244E8">
        <w:rPr>
          <w:rFonts w:ascii="Times New Roman" w:hAnsi="Times New Roman" w:cs="Times New Roman"/>
          <w:sz w:val="24"/>
          <w:szCs w:val="24"/>
        </w:rPr>
        <w:t xml:space="preserve"> </w:t>
      </w:r>
    </w:p>
    <w:p w14:paraId="33417359" w14:textId="473B18C2" w:rsidR="000216B5" w:rsidRPr="006244E8" w:rsidRDefault="000216B5" w:rsidP="000216B5">
      <w:pPr>
        <w:rPr>
          <w:rFonts w:ascii="Times New Roman" w:hAnsi="Times New Roman" w:cs="Times New Roman"/>
          <w:b/>
          <w:bCs/>
          <w:sz w:val="26"/>
          <w:szCs w:val="26"/>
        </w:rPr>
      </w:pPr>
      <w:r w:rsidRPr="006244E8">
        <w:rPr>
          <w:rFonts w:ascii="Times New Roman" w:hAnsi="Times New Roman" w:cs="Times New Roman"/>
          <w:b/>
          <w:bCs/>
          <w:sz w:val="26"/>
          <w:szCs w:val="26"/>
        </w:rPr>
        <w:lastRenderedPageBreak/>
        <w:t xml:space="preserve">B. Zoya Sood, Algorithmic Management and </w:t>
      </w:r>
      <w:proofErr w:type="spellStart"/>
      <w:r w:rsidRPr="006244E8">
        <w:rPr>
          <w:rFonts w:ascii="Times New Roman" w:hAnsi="Times New Roman" w:cs="Times New Roman"/>
          <w:b/>
          <w:bCs/>
          <w:sz w:val="26"/>
          <w:szCs w:val="26"/>
        </w:rPr>
        <w:t>Labour</w:t>
      </w:r>
      <w:proofErr w:type="spellEnd"/>
      <w:r w:rsidRPr="006244E8">
        <w:rPr>
          <w:rFonts w:ascii="Times New Roman" w:hAnsi="Times New Roman" w:cs="Times New Roman"/>
          <w:b/>
          <w:bCs/>
          <w:sz w:val="26"/>
          <w:szCs w:val="26"/>
        </w:rPr>
        <w:t xml:space="preserve"> Protection in the Gig Economy of India</w:t>
      </w:r>
    </w:p>
    <w:p w14:paraId="70F2FEE3" w14:textId="2928E136" w:rsidR="000216B5" w:rsidRPr="006244E8"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b/>
          <w:bCs/>
          <w:sz w:val="26"/>
          <w:szCs w:val="26"/>
        </w:rPr>
        <w:t>Summary of Article</w:t>
      </w:r>
    </w:p>
    <w:p w14:paraId="35293756" w14:textId="042FF23B"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A mixed-method study in the International Journal of Social Science and Economic Research (February 2026) by Sood uses qualitative interviews with </w:t>
      </w:r>
      <w:proofErr w:type="spellStart"/>
      <w:r w:rsidRPr="006244E8">
        <w:rPr>
          <w:rFonts w:ascii="Times New Roman" w:hAnsi="Times New Roman" w:cs="Times New Roman"/>
          <w:sz w:val="24"/>
          <w:szCs w:val="24"/>
        </w:rPr>
        <w:t>Blinkit</w:t>
      </w:r>
      <w:proofErr w:type="spellEnd"/>
      <w:r w:rsidRPr="006244E8">
        <w:rPr>
          <w:rFonts w:ascii="Times New Roman" w:hAnsi="Times New Roman" w:cs="Times New Roman"/>
          <w:sz w:val="24"/>
          <w:szCs w:val="24"/>
        </w:rPr>
        <w:t xml:space="preserve"> delivery workers in Delhi-NCR and analytical commentary of the policy analysis of CSS 2020 to demonstrate a complex paradox in which India has introduced progressive legislation formalizing the gig workers but it was, nonetheless, not devoid of experiences of algorithmic invisibility, income variations and lack of access to statutory benefits in its analysis</w:t>
      </w:r>
      <w:r w:rsidR="006D3B4E">
        <w:rPr>
          <w:rStyle w:val="FootnoteReference"/>
          <w:rFonts w:ascii="Times New Roman" w:hAnsi="Times New Roman" w:cs="Times New Roman"/>
          <w:sz w:val="24"/>
          <w:szCs w:val="24"/>
        </w:rPr>
        <w:footnoteReference w:id="21"/>
      </w:r>
      <w:r w:rsidRPr="006244E8">
        <w:rPr>
          <w:rFonts w:ascii="Times New Roman" w:hAnsi="Times New Roman" w:cs="Times New Roman"/>
          <w:sz w:val="24"/>
          <w:szCs w:val="24"/>
        </w:rPr>
        <w:t xml:space="preserve"> The main empirical results are (1) workers face a loss of earnings, working at an old 9 hour earning is now based on 12-14 hours work, even with regular / more frequent work of people in daily life due to the use of unexpected algorithmic incentive cutbacks</w:t>
      </w:r>
      <w:r w:rsidR="006D3B4E">
        <w:rPr>
          <w:rStyle w:val="FootnoteReference"/>
          <w:rFonts w:ascii="Times New Roman" w:hAnsi="Times New Roman" w:cs="Times New Roman"/>
          <w:sz w:val="24"/>
          <w:szCs w:val="24"/>
        </w:rPr>
        <w:footnoteReference w:id="22"/>
      </w:r>
      <w:r w:rsidRPr="006244E8">
        <w:rPr>
          <w:rFonts w:ascii="Times New Roman" w:hAnsi="Times New Roman" w:cs="Times New Roman"/>
          <w:sz w:val="24"/>
          <w:szCs w:val="24"/>
        </w:rPr>
        <w:t>; (2) workers are being zero-identified with CSS 2020 entitlements or how to claim entitled social security benefits</w:t>
      </w:r>
      <w:r w:rsidR="006D3B4E">
        <w:rPr>
          <w:rStyle w:val="FootnoteReference"/>
          <w:rFonts w:ascii="Times New Roman" w:hAnsi="Times New Roman" w:cs="Times New Roman"/>
          <w:sz w:val="24"/>
          <w:szCs w:val="24"/>
        </w:rPr>
        <w:footnoteReference w:id="23"/>
      </w:r>
      <w:r w:rsidRPr="006244E8">
        <w:rPr>
          <w:rFonts w:ascii="Times New Roman" w:hAnsi="Times New Roman" w:cs="Times New Roman"/>
          <w:sz w:val="24"/>
          <w:szCs w:val="24"/>
        </w:rPr>
        <w:t xml:space="preserve">; (3) they are more prone to being women with less access to services or that they may experience further gender-related vulnerabilities like the exposure </w:t>
      </w:r>
    </w:p>
    <w:p w14:paraId="093CB53D" w14:textId="000B15AD"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Sood describes that algebraic management functions as regulation under the index of standard work regulation - platforms possess unrestricted pay and time arrangement and allocation of rewards and performance promotion, </w:t>
      </w:r>
      <w:proofErr w:type="gramStart"/>
      <w:r w:rsidRPr="006244E8">
        <w:rPr>
          <w:rFonts w:ascii="Times New Roman" w:hAnsi="Times New Roman" w:cs="Times New Roman"/>
          <w:sz w:val="24"/>
          <w:szCs w:val="24"/>
        </w:rPr>
        <w:t>and also</w:t>
      </w:r>
      <w:proofErr w:type="gramEnd"/>
      <w:r w:rsidRPr="006244E8">
        <w:rPr>
          <w:rFonts w:ascii="Times New Roman" w:hAnsi="Times New Roman" w:cs="Times New Roman"/>
          <w:sz w:val="24"/>
          <w:szCs w:val="24"/>
        </w:rPr>
        <w:t xml:space="preserve"> over blackening account deactivation, with obscure algorithms that the workers do not see, discern or challenge. This algorithmic sovereignty undermines official security: the rights in law are worth nothing when algorithms reduce incomes to subsistence </w:t>
      </w:r>
      <w:proofErr w:type="gramStart"/>
      <w:r w:rsidRPr="006244E8">
        <w:rPr>
          <w:rFonts w:ascii="Times New Roman" w:hAnsi="Times New Roman" w:cs="Times New Roman"/>
          <w:sz w:val="24"/>
          <w:szCs w:val="24"/>
        </w:rPr>
        <w:t>levels..</w:t>
      </w:r>
      <w:proofErr w:type="gramEnd"/>
      <w:r w:rsidRPr="006244E8">
        <w:rPr>
          <w:rFonts w:ascii="Times New Roman" w:hAnsi="Times New Roman" w:cs="Times New Roman"/>
          <w:sz w:val="24"/>
          <w:szCs w:val="24"/>
        </w:rPr>
        <w:t xml:space="preserve"> Sood cites the </w:t>
      </w:r>
      <w:proofErr w:type="spellStart"/>
      <w:r w:rsidRPr="006244E8">
        <w:rPr>
          <w:rFonts w:ascii="Times New Roman" w:hAnsi="Times New Roman" w:cs="Times New Roman"/>
          <w:sz w:val="24"/>
          <w:szCs w:val="24"/>
        </w:rPr>
        <w:t>Blinkit</w:t>
      </w:r>
      <w:proofErr w:type="spellEnd"/>
      <w:r w:rsidRPr="006244E8">
        <w:rPr>
          <w:rFonts w:ascii="Times New Roman" w:hAnsi="Times New Roman" w:cs="Times New Roman"/>
          <w:sz w:val="24"/>
          <w:szCs w:val="24"/>
        </w:rPr>
        <w:t xml:space="preserve"> performances of April 2023, which objected to the elimination of the </w:t>
      </w:r>
      <w:r w:rsidR="006D3B4E">
        <w:rPr>
          <w:rFonts w:ascii="Times New Roman" w:hAnsi="Times New Roman" w:cs="Times New Roman"/>
          <w:sz w:val="24"/>
          <w:szCs w:val="24"/>
        </w:rPr>
        <w:t xml:space="preserve">Rs </w:t>
      </w:r>
      <w:r w:rsidRPr="006244E8">
        <w:rPr>
          <w:rFonts w:ascii="Times New Roman" w:hAnsi="Times New Roman" w:cs="Times New Roman"/>
          <w:sz w:val="24"/>
          <w:szCs w:val="24"/>
        </w:rPr>
        <w:t>25 base pay per delivery of fully variable performance and indicate the one-sidedness of the algorithmic restructuring of the latter companies.</w:t>
      </w:r>
    </w:p>
    <w:p w14:paraId="74C15F04" w14:textId="77777777" w:rsidR="00501C2C" w:rsidRPr="006244E8" w:rsidRDefault="00501C2C" w:rsidP="000216B5">
      <w:pPr>
        <w:spacing w:line="360" w:lineRule="auto"/>
        <w:jc w:val="both"/>
        <w:rPr>
          <w:rFonts w:ascii="Times New Roman" w:hAnsi="Times New Roman" w:cs="Times New Roman"/>
          <w:sz w:val="24"/>
          <w:szCs w:val="24"/>
        </w:rPr>
      </w:pPr>
    </w:p>
    <w:p w14:paraId="79019436" w14:textId="6876D58C" w:rsidR="000216B5" w:rsidRPr="006244E8" w:rsidRDefault="000216B5" w:rsidP="000216B5">
      <w:pPr>
        <w:spacing w:line="360" w:lineRule="auto"/>
        <w:jc w:val="both"/>
        <w:rPr>
          <w:rFonts w:ascii="Times New Roman" w:hAnsi="Times New Roman" w:cs="Times New Roman"/>
          <w:b/>
          <w:bCs/>
          <w:sz w:val="24"/>
          <w:szCs w:val="24"/>
        </w:rPr>
      </w:pPr>
      <w:r w:rsidRPr="006244E8">
        <w:rPr>
          <w:rFonts w:ascii="Times New Roman" w:hAnsi="Times New Roman" w:cs="Times New Roman"/>
          <w:b/>
          <w:bCs/>
          <w:sz w:val="24"/>
          <w:szCs w:val="24"/>
        </w:rPr>
        <w:t>Relevance to This Paper</w:t>
      </w:r>
    </w:p>
    <w:p w14:paraId="4C9FDE84" w14:textId="77777777"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empirical evidence provided by Sood supports the main argument of this manuscript, i.e. the current definition of gig work, as the one presented in CSS 2020, is still lacking in the protection of workers without the legal frameworks that could regulate algorithmic transparency and enforceable compensation. By means of systematic research, Sood proves that workers have the least knowledge about the applicable legal framework, thus supporting </w:t>
      </w:r>
      <w:r w:rsidRPr="006244E8">
        <w:rPr>
          <w:rFonts w:ascii="Times New Roman" w:hAnsi="Times New Roman" w:cs="Times New Roman"/>
          <w:sz w:val="24"/>
          <w:szCs w:val="24"/>
        </w:rPr>
        <w:lastRenderedPageBreak/>
        <w:t>the gap between the intent and the actual access to protection. The paper is informative in demonstrating the adverse consequences of algorithmic incentives, as our records indicate the gradual erosion of these incentives due to a mismatch in their definition with hierarchical dominance, which the platforms scapegoat instead of complying with legal requirements that apply to traditional employers. Additionally, the gender-specific analysis provided by Sood is the basis of the recommendations in the paper on how to implement specific safeguards, namely, safety, maternity and childcare guarantees in the hybrid employee plan. The field research by her cohort studying Delhi-NCR comes at an opportune time that is in immediate relation to the academic context of the current study since the scope of the legal environment of the developing India is simultaneously broadening.</w:t>
      </w:r>
    </w:p>
    <w:p w14:paraId="2239F2B1" w14:textId="2D68814A" w:rsidR="000216B5" w:rsidRPr="00AF6C4A" w:rsidRDefault="000216B5" w:rsidP="000216B5">
      <w:pPr>
        <w:rPr>
          <w:b/>
          <w:bCs/>
        </w:rPr>
      </w:pPr>
      <w:r w:rsidRPr="00AF6C4A">
        <w:rPr>
          <w:b/>
          <w:bCs/>
        </w:rPr>
        <w:t xml:space="preserve">C. </w:t>
      </w:r>
      <w:proofErr w:type="spellStart"/>
      <w:r w:rsidRPr="00AF6C4A">
        <w:rPr>
          <w:b/>
          <w:bCs/>
        </w:rPr>
        <w:t>Deepashree</w:t>
      </w:r>
      <w:proofErr w:type="spellEnd"/>
      <w:r w:rsidRPr="00AF6C4A">
        <w:rPr>
          <w:b/>
          <w:bCs/>
        </w:rPr>
        <w:t xml:space="preserve"> R., An </w:t>
      </w:r>
      <w:proofErr w:type="spellStart"/>
      <w:r w:rsidRPr="00AF6C4A">
        <w:rPr>
          <w:b/>
          <w:bCs/>
        </w:rPr>
        <w:t>Indepth</w:t>
      </w:r>
      <w:proofErr w:type="spellEnd"/>
      <w:r w:rsidRPr="00AF6C4A">
        <w:rPr>
          <w:b/>
          <w:bCs/>
        </w:rPr>
        <w:t xml:space="preserve"> Report on India</w:t>
      </w:r>
      <w:r w:rsidRPr="00AF6C4A">
        <w:rPr>
          <w:b/>
          <w:bCs/>
        </w:rPr>
        <w:t>’</w:t>
      </w:r>
      <w:r w:rsidRPr="00AF6C4A">
        <w:rPr>
          <w:b/>
          <w:bCs/>
        </w:rPr>
        <w:t>s Gig Economy</w:t>
      </w:r>
    </w:p>
    <w:p w14:paraId="242047E5" w14:textId="08F3DB5D" w:rsidR="000216B5" w:rsidRPr="006244E8" w:rsidRDefault="000216B5" w:rsidP="000216B5">
      <w:pPr>
        <w:rPr>
          <w:b/>
          <w:bCs/>
        </w:rPr>
      </w:pPr>
      <w:r w:rsidRPr="00AF6C4A">
        <w:rPr>
          <w:b/>
          <w:bCs/>
        </w:rPr>
        <w:t>Summary of Article</w:t>
      </w:r>
    </w:p>
    <w:p w14:paraId="0572DCA2" w14:textId="41D7506A" w:rsidR="000216B5" w:rsidRPr="006244E8" w:rsidRDefault="000216B5" w:rsidP="000216B5">
      <w:pPr>
        <w:spacing w:line="360" w:lineRule="auto"/>
        <w:jc w:val="both"/>
        <w:rPr>
          <w:rFonts w:ascii="Times New Roman" w:hAnsi="Times New Roman" w:cs="Times New Roman"/>
          <w:sz w:val="24"/>
          <w:szCs w:val="24"/>
        </w:rPr>
      </w:pPr>
      <w:proofErr w:type="spellStart"/>
      <w:r w:rsidRPr="006244E8">
        <w:rPr>
          <w:rFonts w:ascii="Times New Roman" w:hAnsi="Times New Roman" w:cs="Times New Roman"/>
          <w:sz w:val="24"/>
          <w:szCs w:val="24"/>
        </w:rPr>
        <w:t>Deepashree</w:t>
      </w:r>
      <w:proofErr w:type="spellEnd"/>
      <w:r w:rsidRPr="006244E8">
        <w:rPr>
          <w:rFonts w:ascii="Times New Roman" w:hAnsi="Times New Roman" w:cs="Times New Roman"/>
          <w:sz w:val="24"/>
          <w:szCs w:val="24"/>
        </w:rPr>
        <w:t xml:space="preserve"> (August 2025) helps to put the gig economy in India in the context of constitutional, statutory and comparative paradigms and questions safeguards, enshrined in Articles 14, 19, 21, CSS 2020, and related international standards (UK, EU, US) </w:t>
      </w:r>
      <w:r w:rsidR="006D3B4E">
        <w:rPr>
          <w:rStyle w:val="FootnoteReference"/>
          <w:rFonts w:ascii="Times New Roman" w:hAnsi="Times New Roman" w:cs="Times New Roman"/>
          <w:sz w:val="24"/>
          <w:szCs w:val="24"/>
        </w:rPr>
        <w:footnoteReference w:id="24"/>
      </w:r>
      <w:r w:rsidRPr="006244E8">
        <w:rPr>
          <w:rFonts w:ascii="Times New Roman" w:hAnsi="Times New Roman" w:cs="Times New Roman"/>
          <w:sz w:val="24"/>
          <w:szCs w:val="24"/>
        </w:rPr>
        <w:t xml:space="preserve">. The analysis shows that the relevant gaps </w:t>
      </w:r>
      <w:proofErr w:type="gramStart"/>
      <w:r w:rsidRPr="006244E8">
        <w:rPr>
          <w:rFonts w:ascii="Times New Roman" w:hAnsi="Times New Roman" w:cs="Times New Roman"/>
          <w:sz w:val="24"/>
          <w:szCs w:val="24"/>
        </w:rPr>
        <w:t>include:</w:t>
      </w:r>
      <w:proofErr w:type="gramEnd"/>
      <w:r w:rsidRPr="006244E8">
        <w:rPr>
          <w:rFonts w:ascii="Times New Roman" w:hAnsi="Times New Roman" w:cs="Times New Roman"/>
          <w:sz w:val="24"/>
          <w:szCs w:val="24"/>
        </w:rPr>
        <w:t xml:space="preserve"> optional social-security entitlements of CSS 2020 instead of mandatory ones, lack of enforceability structures, and legal </w:t>
      </w:r>
      <w:proofErr w:type="spellStart"/>
      <w:r w:rsidRPr="006244E8">
        <w:rPr>
          <w:rFonts w:ascii="Times New Roman" w:hAnsi="Times New Roman" w:cs="Times New Roman"/>
          <w:sz w:val="24"/>
          <w:szCs w:val="24"/>
        </w:rPr>
        <w:t>vaguenesses</w:t>
      </w:r>
      <w:proofErr w:type="spellEnd"/>
      <w:r w:rsidRPr="006244E8">
        <w:rPr>
          <w:rFonts w:ascii="Times New Roman" w:hAnsi="Times New Roman" w:cs="Times New Roman"/>
          <w:sz w:val="24"/>
          <w:szCs w:val="24"/>
        </w:rPr>
        <w:t xml:space="preserve"> in categorization that practically deprive gig workers of conventional protections including minimum wage and labor unions </w:t>
      </w:r>
      <w:r w:rsidR="006D3B4E">
        <w:rPr>
          <w:rStyle w:val="FootnoteReference"/>
          <w:rFonts w:ascii="Times New Roman" w:hAnsi="Times New Roman" w:cs="Times New Roman"/>
          <w:sz w:val="24"/>
          <w:szCs w:val="24"/>
        </w:rPr>
        <w:footnoteReference w:id="25"/>
      </w:r>
      <w:r w:rsidRPr="006244E8">
        <w:rPr>
          <w:rFonts w:ascii="Times New Roman" w:hAnsi="Times New Roman" w:cs="Times New Roman"/>
          <w:sz w:val="24"/>
          <w:szCs w:val="24"/>
        </w:rPr>
        <w:t>.</w:t>
      </w:r>
    </w:p>
    <w:p w14:paraId="2D756839" w14:textId="5B3D5B18" w:rsidR="000216B5" w:rsidRPr="006244E8" w:rsidRDefault="000216B5" w:rsidP="000216B5">
      <w:pPr>
        <w:spacing w:line="360" w:lineRule="auto"/>
        <w:jc w:val="both"/>
        <w:rPr>
          <w:rFonts w:ascii="Times New Roman" w:hAnsi="Times New Roman" w:cs="Times New Roman"/>
          <w:sz w:val="24"/>
          <w:szCs w:val="24"/>
        </w:rPr>
      </w:pPr>
      <w:proofErr w:type="spellStart"/>
      <w:r w:rsidRPr="006244E8">
        <w:rPr>
          <w:rFonts w:ascii="Times New Roman" w:hAnsi="Times New Roman" w:cs="Times New Roman"/>
          <w:sz w:val="24"/>
          <w:szCs w:val="24"/>
        </w:rPr>
        <w:t>Deepashree</w:t>
      </w:r>
      <w:proofErr w:type="spellEnd"/>
      <w:r w:rsidRPr="006244E8">
        <w:rPr>
          <w:rFonts w:ascii="Times New Roman" w:hAnsi="Times New Roman" w:cs="Times New Roman"/>
          <w:sz w:val="24"/>
          <w:szCs w:val="24"/>
        </w:rPr>
        <w:t xml:space="preserve"> also explains algorithmic management as an ethical dilemma: the lack of transparency breeds helplessness, and employees cannot understand a reduction of remunerations, the re-allocation of tasks, or a freeze of their accounts. About 83 percent of Indian ride-hailing drivers admit that sudden service cuts begin, which ends in loss of income and </w:t>
      </w:r>
      <w:proofErr w:type="gramStart"/>
      <w:r w:rsidRPr="006244E8">
        <w:rPr>
          <w:rFonts w:ascii="Times New Roman" w:hAnsi="Times New Roman" w:cs="Times New Roman"/>
          <w:sz w:val="24"/>
          <w:szCs w:val="24"/>
        </w:rPr>
        <w:t>lawsuits .</w:t>
      </w:r>
      <w:proofErr w:type="gramEnd"/>
      <w:r w:rsidRPr="006244E8">
        <w:rPr>
          <w:rFonts w:ascii="Times New Roman" w:hAnsi="Times New Roman" w:cs="Times New Roman"/>
          <w:sz w:val="24"/>
          <w:szCs w:val="24"/>
        </w:rPr>
        <w:t xml:space="preserve"> The surveillance patterns, as scraping-biometric and locational information platforms under the influence of a platform, usually occur without the knowledge or agreement of the workers, which initiates data leaking and the violations of personal </w:t>
      </w:r>
      <w:proofErr w:type="gramStart"/>
      <w:r w:rsidRPr="006244E8">
        <w:rPr>
          <w:rFonts w:ascii="Times New Roman" w:hAnsi="Times New Roman" w:cs="Times New Roman"/>
          <w:sz w:val="24"/>
          <w:szCs w:val="24"/>
        </w:rPr>
        <w:t>autonomy .</w:t>
      </w:r>
      <w:proofErr w:type="gramEnd"/>
      <w:r w:rsidRPr="006244E8">
        <w:rPr>
          <w:rFonts w:ascii="Times New Roman" w:hAnsi="Times New Roman" w:cs="Times New Roman"/>
          <w:sz w:val="24"/>
          <w:szCs w:val="24"/>
        </w:rPr>
        <w:t xml:space="preserve"> On this basis, the report proposes a wholesale reform, which includes: a </w:t>
      </w:r>
      <w:proofErr w:type="spellStart"/>
      <w:r w:rsidRPr="006244E8">
        <w:rPr>
          <w:rFonts w:ascii="Times New Roman" w:hAnsi="Times New Roman" w:cs="Times New Roman"/>
          <w:sz w:val="24"/>
          <w:szCs w:val="24"/>
        </w:rPr>
        <w:t>hybridised</w:t>
      </w:r>
      <w:proofErr w:type="spellEnd"/>
      <w:r w:rsidRPr="006244E8">
        <w:rPr>
          <w:rFonts w:ascii="Times New Roman" w:hAnsi="Times New Roman" w:cs="Times New Roman"/>
          <w:sz w:val="24"/>
          <w:szCs w:val="24"/>
        </w:rPr>
        <w:t xml:space="preserve"> category dubbed dependent-contractor; a minimum wage adjusted to the costs involved; an algorithmic transparency equivalent to the EU Platform Work Directive; a two-level grievance system with </w:t>
      </w:r>
      <w:r w:rsidRPr="006244E8">
        <w:rPr>
          <w:rFonts w:ascii="Times New Roman" w:hAnsi="Times New Roman" w:cs="Times New Roman"/>
          <w:sz w:val="24"/>
          <w:szCs w:val="24"/>
        </w:rPr>
        <w:lastRenderedPageBreak/>
        <w:t xml:space="preserve">review rights; and a universal, mobile social -security framework funded through transaction-based aggregator </w:t>
      </w:r>
      <w:proofErr w:type="gramStart"/>
      <w:r w:rsidRPr="006244E8">
        <w:rPr>
          <w:rFonts w:ascii="Times New Roman" w:hAnsi="Times New Roman" w:cs="Times New Roman"/>
          <w:sz w:val="24"/>
          <w:szCs w:val="24"/>
        </w:rPr>
        <w:t>fees .</w:t>
      </w:r>
      <w:proofErr w:type="gramEnd"/>
    </w:p>
    <w:p w14:paraId="0C2C1506" w14:textId="074CC870" w:rsidR="000216B5" w:rsidRPr="006244E8"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b/>
          <w:bCs/>
          <w:sz w:val="26"/>
          <w:szCs w:val="26"/>
        </w:rPr>
        <w:t>Relevance to This Paper</w:t>
      </w:r>
    </w:p>
    <w:p w14:paraId="1E754A8C" w14:textId="407EB056" w:rsidR="000216B5" w:rsidRPr="00501C2C" w:rsidRDefault="000216B5" w:rsidP="00501C2C">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applicability of the findings of </w:t>
      </w:r>
      <w:proofErr w:type="spellStart"/>
      <w:r w:rsidRPr="006244E8">
        <w:rPr>
          <w:rFonts w:ascii="Times New Roman" w:hAnsi="Times New Roman" w:cs="Times New Roman"/>
          <w:sz w:val="24"/>
          <w:szCs w:val="24"/>
        </w:rPr>
        <w:t>Deepashree</w:t>
      </w:r>
      <w:proofErr w:type="spellEnd"/>
      <w:r w:rsidRPr="006244E8">
        <w:rPr>
          <w:rFonts w:ascii="Times New Roman" w:hAnsi="Times New Roman" w:cs="Times New Roman"/>
          <w:sz w:val="24"/>
          <w:szCs w:val="24"/>
        </w:rPr>
        <w:t xml:space="preserve"> to the current manuscript is complex. The paper gives a constitutional justification which is based on her theoretical reinforcement of Article 21 by a long-term association between the vulnerabilities of gig-workers, the constitutional protection of equal rights (Article 14), the right to livelihood (Article 21) and the ban on forced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(Article 23). Her relative evaluation of the rebuttable presumption of employment that California AB5/ABC tests would be compared to in the EU Platform Work Directive provides a template of reform that is modular and could be assigned to the current constitutional framework of India. The statistical confirmation of the algorithmic deactivation of the adverse effects of the driver proves the fact that algorithmic control is a human-rights problem. Lastly, the model proposed by </w:t>
      </w:r>
      <w:proofErr w:type="spellStart"/>
      <w:r w:rsidRPr="006244E8">
        <w:rPr>
          <w:rFonts w:ascii="Times New Roman" w:hAnsi="Times New Roman" w:cs="Times New Roman"/>
          <w:sz w:val="24"/>
          <w:szCs w:val="24"/>
        </w:rPr>
        <w:t>Deepashree</w:t>
      </w:r>
      <w:proofErr w:type="spellEnd"/>
      <w:r w:rsidRPr="006244E8">
        <w:rPr>
          <w:rFonts w:ascii="Times New Roman" w:hAnsi="Times New Roman" w:cs="Times New Roman"/>
          <w:sz w:val="24"/>
          <w:szCs w:val="24"/>
        </w:rPr>
        <w:t xml:space="preserve"> of the dependent-contractor fits into the idea that the paper proposes a patchwork of legislations that should consider the various profiles of platform-workers and still leave the possibility of regulation. The proper benchmarks of responsible algorithmic governance are provided by her stated principles of </w:t>
      </w:r>
      <w:proofErr w:type="spellStart"/>
      <w:r w:rsidRPr="006244E8">
        <w:rPr>
          <w:rFonts w:ascii="Times New Roman" w:hAnsi="Times New Roman" w:cs="Times New Roman"/>
          <w:sz w:val="24"/>
          <w:szCs w:val="24"/>
        </w:rPr>
        <w:t>Fairwork</w:t>
      </w:r>
      <w:proofErr w:type="spellEnd"/>
      <w:r w:rsidRPr="006244E8">
        <w:rPr>
          <w:rFonts w:ascii="Times New Roman" w:hAnsi="Times New Roman" w:cs="Times New Roman"/>
          <w:sz w:val="24"/>
          <w:szCs w:val="24"/>
        </w:rPr>
        <w:t>: Fair Pay, Fair Conditions, Fair Contracts, Fair Management and Fair Representation.</w:t>
      </w:r>
    </w:p>
    <w:p w14:paraId="14B98E77" w14:textId="77777777" w:rsidR="000216B5" w:rsidRPr="006244E8" w:rsidRDefault="000216B5" w:rsidP="000216B5">
      <w:pPr>
        <w:spacing w:before="240" w:line="271" w:lineRule="auto"/>
        <w:rPr>
          <w:rFonts w:ascii="Times New Roman" w:hAnsi="Times New Roman" w:cs="Times New Roman"/>
          <w:sz w:val="28"/>
          <w:szCs w:val="28"/>
        </w:rPr>
      </w:pPr>
      <w:bookmarkStart w:id="2" w:name="iv_research_questions_and_researc_9f7cd3"/>
      <w:r w:rsidRPr="006244E8">
        <w:rPr>
          <w:rFonts w:ascii="Times New Roman" w:hAnsi="Times New Roman" w:cs="Times New Roman"/>
          <w:b/>
          <w:sz w:val="42"/>
        </w:rPr>
        <w:t xml:space="preserve">IV. </w:t>
      </w:r>
      <w:r w:rsidRPr="006244E8">
        <w:rPr>
          <w:rFonts w:ascii="Times New Roman" w:hAnsi="Times New Roman" w:cs="Times New Roman"/>
          <w:b/>
          <w:sz w:val="28"/>
          <w:szCs w:val="28"/>
        </w:rPr>
        <w:t>Research Questions and Research Objectives</w:t>
      </w:r>
      <w:bookmarkEnd w:id="2"/>
    </w:p>
    <w:p w14:paraId="2D9B2826" w14:textId="77777777" w:rsidR="000216B5" w:rsidRPr="006244E8" w:rsidRDefault="000216B5" w:rsidP="000216B5">
      <w:pPr>
        <w:spacing w:before="240" w:line="271" w:lineRule="auto"/>
        <w:rPr>
          <w:rFonts w:ascii="Times New Roman" w:hAnsi="Times New Roman" w:cs="Times New Roman"/>
          <w:sz w:val="26"/>
          <w:szCs w:val="26"/>
        </w:rPr>
      </w:pPr>
      <w:bookmarkStart w:id="3" w:name="a_research_questions"/>
      <w:r w:rsidRPr="006244E8">
        <w:rPr>
          <w:rFonts w:ascii="Times New Roman" w:hAnsi="Times New Roman" w:cs="Times New Roman"/>
          <w:b/>
          <w:sz w:val="26"/>
          <w:szCs w:val="26"/>
        </w:rPr>
        <w:t>A. Research Questions</w:t>
      </w:r>
      <w:bookmarkEnd w:id="3"/>
    </w:p>
    <w:p w14:paraId="34600722" w14:textId="77777777"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 xml:space="preserve">RQ1: What are the current definitive ambiguities in the 2020 </w:t>
      </w:r>
      <w:proofErr w:type="spellStart"/>
      <w:r w:rsidRPr="006244E8">
        <w:rPr>
          <w:rFonts w:ascii="Times New Roman" w:hAnsi="Times New Roman" w:cs="Times New Roman"/>
          <w:bCs/>
          <w:sz w:val="24"/>
          <w:szCs w:val="24"/>
        </w:rPr>
        <w:t>Labour</w:t>
      </w:r>
      <w:proofErr w:type="spellEnd"/>
      <w:r w:rsidRPr="006244E8">
        <w:rPr>
          <w:rFonts w:ascii="Times New Roman" w:hAnsi="Times New Roman" w:cs="Times New Roman"/>
          <w:bCs/>
          <w:sz w:val="24"/>
          <w:szCs w:val="24"/>
        </w:rPr>
        <w:t xml:space="preserve"> Codes on the classification of gig workers?  </w:t>
      </w:r>
    </w:p>
    <w:p w14:paraId="62FE6835" w14:textId="77777777"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 xml:space="preserve">RQ 2: To what extent do algorithmic management practices violate constitutional and international human rights norms?  </w:t>
      </w:r>
    </w:p>
    <w:p w14:paraId="54F0B6AF" w14:textId="77777777"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 xml:space="preserve">RQ3: What implementation loopholes do not allow gig workers to receive the promised social security benefits?  </w:t>
      </w:r>
    </w:p>
    <w:p w14:paraId="319D33F6" w14:textId="77777777"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RQ4: Which institutional solutions can be used to strike a balance between platform innovation and protection of the rights of workers?</w:t>
      </w:r>
    </w:p>
    <w:p w14:paraId="76DF3CC8" w14:textId="78786D0C" w:rsidR="000216B5" w:rsidRDefault="000216B5" w:rsidP="000216B5">
      <w:pPr>
        <w:spacing w:after="210" w:line="360" w:lineRule="auto"/>
        <w:jc w:val="both"/>
        <w:rPr>
          <w:rFonts w:ascii="Times New Roman" w:hAnsi="Times New Roman" w:cs="Times New Roman"/>
          <w:b/>
          <w:sz w:val="26"/>
          <w:szCs w:val="26"/>
        </w:rPr>
      </w:pPr>
    </w:p>
    <w:p w14:paraId="72782693" w14:textId="77777777" w:rsidR="00645CB3" w:rsidRPr="006244E8" w:rsidRDefault="00645CB3" w:rsidP="000216B5">
      <w:pPr>
        <w:spacing w:after="210" w:line="360" w:lineRule="auto"/>
        <w:jc w:val="both"/>
        <w:rPr>
          <w:rFonts w:ascii="Times New Roman" w:hAnsi="Times New Roman" w:cs="Times New Roman"/>
          <w:b/>
          <w:sz w:val="26"/>
          <w:szCs w:val="26"/>
        </w:rPr>
      </w:pPr>
    </w:p>
    <w:p w14:paraId="6D2BAB61" w14:textId="77777777" w:rsidR="000216B5" w:rsidRPr="006244E8" w:rsidRDefault="000216B5" w:rsidP="000216B5">
      <w:pPr>
        <w:spacing w:after="210" w:line="360" w:lineRule="auto"/>
        <w:jc w:val="both"/>
        <w:rPr>
          <w:rFonts w:ascii="Times New Roman" w:hAnsi="Times New Roman" w:cs="Times New Roman"/>
          <w:b/>
          <w:sz w:val="26"/>
          <w:szCs w:val="26"/>
        </w:rPr>
      </w:pPr>
      <w:r w:rsidRPr="006244E8">
        <w:rPr>
          <w:rFonts w:ascii="Times New Roman" w:hAnsi="Times New Roman" w:cs="Times New Roman"/>
          <w:b/>
          <w:sz w:val="26"/>
          <w:szCs w:val="26"/>
        </w:rPr>
        <w:lastRenderedPageBreak/>
        <w:t xml:space="preserve">B. Research Objectives  </w:t>
      </w:r>
    </w:p>
    <w:p w14:paraId="3F5AA9A4" w14:textId="77777777"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 xml:space="preserve">RO1: Interpret legal definitions of CSS-2020 and IRC-2020 </w:t>
      </w:r>
      <w:proofErr w:type="gramStart"/>
      <w:r w:rsidRPr="006244E8">
        <w:rPr>
          <w:rFonts w:ascii="Times New Roman" w:hAnsi="Times New Roman" w:cs="Times New Roman"/>
          <w:bCs/>
          <w:sz w:val="24"/>
          <w:szCs w:val="24"/>
        </w:rPr>
        <w:t>in order to</w:t>
      </w:r>
      <w:proofErr w:type="gramEnd"/>
      <w:r w:rsidRPr="006244E8">
        <w:rPr>
          <w:rFonts w:ascii="Times New Roman" w:hAnsi="Times New Roman" w:cs="Times New Roman"/>
          <w:bCs/>
          <w:sz w:val="24"/>
          <w:szCs w:val="24"/>
        </w:rPr>
        <w:t xml:space="preserve"> reveal legal arbitrage and misclassification of workers.  </w:t>
      </w:r>
    </w:p>
    <w:p w14:paraId="142AC6BB" w14:textId="77777777"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 xml:space="preserve">RO2: Discuss the way in which the algorithmic control systems violate the obligations of Article 21 and ILO Convention No. 98.  </w:t>
      </w:r>
    </w:p>
    <w:p w14:paraId="4816B8B8" w14:textId="77777777"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 xml:space="preserve">RO3: Evaluate practical obstacles that prevent the gig workers to access CSS-2020 social security benefits.  </w:t>
      </w:r>
    </w:p>
    <w:p w14:paraId="2AB93AF2" w14:textId="77777777"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RO4: postulate hybrid worker status models and institutional arrangements that guarantee decent work in platform economies.</w:t>
      </w:r>
    </w:p>
    <w:p w14:paraId="1F171010" w14:textId="77777777" w:rsidR="000216B5" w:rsidRPr="006244E8" w:rsidRDefault="000216B5" w:rsidP="000216B5">
      <w:pPr>
        <w:spacing w:after="210" w:line="360" w:lineRule="auto"/>
        <w:jc w:val="both"/>
        <w:rPr>
          <w:rFonts w:ascii="Times New Roman" w:hAnsi="Times New Roman" w:cs="Times New Roman"/>
          <w:bCs/>
          <w:sz w:val="24"/>
          <w:szCs w:val="24"/>
        </w:rPr>
      </w:pPr>
    </w:p>
    <w:p w14:paraId="52CFE77D" w14:textId="77777777" w:rsidR="000216B5" w:rsidRPr="006244E8" w:rsidRDefault="000216B5" w:rsidP="000216B5">
      <w:pPr>
        <w:spacing w:after="210" w:line="360" w:lineRule="auto"/>
        <w:jc w:val="both"/>
        <w:rPr>
          <w:rFonts w:ascii="Times New Roman" w:hAnsi="Times New Roman" w:cs="Times New Roman"/>
          <w:b/>
          <w:sz w:val="28"/>
          <w:szCs w:val="28"/>
        </w:rPr>
      </w:pPr>
      <w:r w:rsidRPr="006244E8">
        <w:rPr>
          <w:rFonts w:ascii="Times New Roman" w:hAnsi="Times New Roman" w:cs="Times New Roman"/>
          <w:b/>
          <w:sz w:val="28"/>
          <w:szCs w:val="28"/>
        </w:rPr>
        <w:t>V. Methodology</w:t>
      </w:r>
    </w:p>
    <w:p w14:paraId="03EA6C9A" w14:textId="0CC77E71"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This</w:t>
      </w:r>
      <w:r>
        <w:rPr>
          <w:rFonts w:ascii="Times New Roman" w:hAnsi="Times New Roman" w:cs="Times New Roman"/>
          <w:bCs/>
          <w:sz w:val="24"/>
          <w:szCs w:val="24"/>
        </w:rPr>
        <w:t xml:space="preserve"> </w:t>
      </w:r>
      <w:r w:rsidRPr="006244E8">
        <w:rPr>
          <w:rFonts w:ascii="Times New Roman" w:hAnsi="Times New Roman" w:cs="Times New Roman"/>
          <w:bCs/>
          <w:sz w:val="24"/>
          <w:szCs w:val="24"/>
        </w:rPr>
        <w:t xml:space="preserve">doctrine research identifies the key sources of legal research, including the Code on Social Security 2020, the Code on Industrial Relations 2020, Article 21, 14, 23 of the Constitution, the International Convention 2020, and the International Covenant on Economic, Social and Cultural Rights, through the use of the primary sources to </w:t>
      </w:r>
      <w:proofErr w:type="spellStart"/>
      <w:r w:rsidRPr="006244E8">
        <w:rPr>
          <w:rFonts w:ascii="Times New Roman" w:hAnsi="Times New Roman" w:cs="Times New Roman"/>
          <w:bCs/>
          <w:sz w:val="24"/>
          <w:szCs w:val="24"/>
        </w:rPr>
        <w:t>analyse</w:t>
      </w:r>
      <w:proofErr w:type="spellEnd"/>
      <w:r w:rsidRPr="006244E8">
        <w:rPr>
          <w:rFonts w:ascii="Times New Roman" w:hAnsi="Times New Roman" w:cs="Times New Roman"/>
          <w:bCs/>
          <w:sz w:val="24"/>
          <w:szCs w:val="24"/>
        </w:rPr>
        <w:t xml:space="preserve"> the legal research question and the Supreme Court jurisprudence. Secondary sources are reports by academicians, political papers, and worker case studies. </w:t>
      </w:r>
    </w:p>
    <w:p w14:paraId="5355152E" w14:textId="77777777" w:rsidR="000216B5" w:rsidRPr="006244E8" w:rsidRDefault="000216B5" w:rsidP="000216B5">
      <w:pPr>
        <w:spacing w:after="210" w:line="360" w:lineRule="auto"/>
        <w:jc w:val="both"/>
        <w:rPr>
          <w:rFonts w:ascii="Times New Roman" w:hAnsi="Times New Roman" w:cs="Times New Roman"/>
          <w:b/>
          <w:sz w:val="28"/>
          <w:szCs w:val="28"/>
        </w:rPr>
      </w:pPr>
      <w:r w:rsidRPr="006244E8">
        <w:rPr>
          <w:rFonts w:ascii="Times New Roman" w:hAnsi="Times New Roman" w:cs="Times New Roman"/>
          <w:b/>
          <w:sz w:val="28"/>
          <w:szCs w:val="28"/>
        </w:rPr>
        <w:t>VI. Scope and Limitations</w:t>
      </w:r>
    </w:p>
    <w:p w14:paraId="47DF00C2" w14:textId="573FB699"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 xml:space="preserve">It deals with the platform-based gig work in India, namely the ride-hailing, food delivery, and logistics, inclusive of the 2020 </w:t>
      </w:r>
      <w:proofErr w:type="spellStart"/>
      <w:r w:rsidRPr="006244E8">
        <w:rPr>
          <w:rFonts w:ascii="Times New Roman" w:hAnsi="Times New Roman" w:cs="Times New Roman"/>
          <w:bCs/>
          <w:sz w:val="24"/>
          <w:szCs w:val="24"/>
        </w:rPr>
        <w:t>Labour</w:t>
      </w:r>
      <w:proofErr w:type="spellEnd"/>
      <w:r w:rsidRPr="006244E8">
        <w:rPr>
          <w:rFonts w:ascii="Times New Roman" w:hAnsi="Times New Roman" w:cs="Times New Roman"/>
          <w:bCs/>
          <w:sz w:val="24"/>
          <w:szCs w:val="24"/>
        </w:rPr>
        <w:t xml:space="preserve"> Codes, and the classification of workers and their social security application, in particular. The research involves constitutional interpretation (Articles 21,14,23) and international requirements (ILO Convention 98, ICESCR) without involving tax law and competition law. The geographic focus of the query is on the work of urban platforms, but the rural settings can be more versatile. The continuous adoption of CSS-2020 comes with time constraints because the timeline of analysis is constrained. Heterogeneity in model of the platforms, the demographics of the workers working on it, and the differences in the enforcement across the regions limits </w:t>
      </w:r>
      <w:proofErr w:type="spellStart"/>
      <w:r w:rsidRPr="006244E8">
        <w:rPr>
          <w:rFonts w:ascii="Times New Roman" w:hAnsi="Times New Roman" w:cs="Times New Roman"/>
          <w:bCs/>
          <w:sz w:val="24"/>
          <w:szCs w:val="24"/>
        </w:rPr>
        <w:t>generalisability</w:t>
      </w:r>
      <w:proofErr w:type="spellEnd"/>
      <w:r w:rsidRPr="006244E8">
        <w:rPr>
          <w:rFonts w:ascii="Times New Roman" w:hAnsi="Times New Roman" w:cs="Times New Roman"/>
          <w:bCs/>
          <w:sz w:val="24"/>
          <w:szCs w:val="24"/>
        </w:rPr>
        <w:t xml:space="preserve"> of the research since it could influence the degree to which the results </w:t>
      </w:r>
      <w:proofErr w:type="spellStart"/>
      <w:r w:rsidRPr="006244E8">
        <w:rPr>
          <w:rFonts w:ascii="Times New Roman" w:hAnsi="Times New Roman" w:cs="Times New Roman"/>
          <w:bCs/>
          <w:sz w:val="24"/>
          <w:szCs w:val="24"/>
        </w:rPr>
        <w:t>generalise</w:t>
      </w:r>
      <w:proofErr w:type="spellEnd"/>
      <w:r w:rsidRPr="006244E8">
        <w:rPr>
          <w:rFonts w:ascii="Times New Roman" w:hAnsi="Times New Roman" w:cs="Times New Roman"/>
          <w:bCs/>
          <w:sz w:val="24"/>
          <w:szCs w:val="24"/>
        </w:rPr>
        <w:t xml:space="preserve"> to other contexts of study.</w:t>
      </w:r>
    </w:p>
    <w:p w14:paraId="512CECC4" w14:textId="77777777" w:rsidR="000216B5" w:rsidRPr="006244E8" w:rsidRDefault="000216B5" w:rsidP="000216B5">
      <w:pPr>
        <w:rPr>
          <w:rFonts w:ascii="Times New Roman" w:hAnsi="Times New Roman" w:cs="Times New Roman"/>
          <w:b/>
          <w:bCs/>
          <w:sz w:val="28"/>
          <w:szCs w:val="28"/>
        </w:rPr>
      </w:pPr>
      <w:r w:rsidRPr="006244E8">
        <w:rPr>
          <w:rFonts w:ascii="Times New Roman" w:hAnsi="Times New Roman" w:cs="Times New Roman"/>
          <w:b/>
          <w:bCs/>
          <w:sz w:val="28"/>
          <w:szCs w:val="28"/>
        </w:rPr>
        <w:lastRenderedPageBreak/>
        <w:t xml:space="preserve">VII. Legal Analysis and Argument. </w:t>
      </w:r>
    </w:p>
    <w:p w14:paraId="43840753" w14:textId="18A488F9" w:rsidR="000216B5" w:rsidRPr="006244E8" w:rsidRDefault="000216B5" w:rsidP="000216B5">
      <w:pPr>
        <w:rPr>
          <w:rFonts w:ascii="Times New Roman" w:hAnsi="Times New Roman" w:cs="Times New Roman"/>
          <w:b/>
          <w:bCs/>
          <w:sz w:val="26"/>
          <w:szCs w:val="26"/>
        </w:rPr>
      </w:pPr>
      <w:r w:rsidRPr="006244E8">
        <w:rPr>
          <w:rFonts w:ascii="Times New Roman" w:hAnsi="Times New Roman" w:cs="Times New Roman"/>
          <w:b/>
          <w:bCs/>
          <w:sz w:val="26"/>
          <w:szCs w:val="26"/>
        </w:rPr>
        <w:t xml:space="preserve">A. Worker Classification Under the 2020 </w:t>
      </w:r>
      <w:proofErr w:type="spellStart"/>
      <w:r w:rsidRPr="006244E8">
        <w:rPr>
          <w:rFonts w:ascii="Times New Roman" w:hAnsi="Times New Roman" w:cs="Times New Roman"/>
          <w:b/>
          <w:bCs/>
          <w:sz w:val="26"/>
          <w:szCs w:val="26"/>
        </w:rPr>
        <w:t>Labour</w:t>
      </w:r>
      <w:proofErr w:type="spellEnd"/>
      <w:r w:rsidRPr="006244E8">
        <w:rPr>
          <w:rFonts w:ascii="Times New Roman" w:hAnsi="Times New Roman" w:cs="Times New Roman"/>
          <w:b/>
          <w:bCs/>
          <w:sz w:val="26"/>
          <w:szCs w:val="26"/>
        </w:rPr>
        <w:t xml:space="preserve"> Codes</w:t>
      </w:r>
    </w:p>
    <w:p w14:paraId="3B19D91D" w14:textId="362D35EA" w:rsidR="000216B5" w:rsidRPr="006244E8" w:rsidRDefault="000216B5" w:rsidP="000216B5">
      <w:pPr>
        <w:rPr>
          <w:rFonts w:ascii="Times New Roman" w:hAnsi="Times New Roman" w:cs="Times New Roman"/>
          <w:b/>
          <w:bCs/>
          <w:sz w:val="26"/>
          <w:szCs w:val="26"/>
        </w:rPr>
      </w:pPr>
      <w:r w:rsidRPr="006244E8">
        <w:rPr>
          <w:rFonts w:ascii="Times New Roman" w:hAnsi="Times New Roman" w:cs="Times New Roman"/>
          <w:b/>
          <w:bCs/>
          <w:sz w:val="26"/>
          <w:szCs w:val="26"/>
        </w:rPr>
        <w:t>1. Statutory Frameworks and Definitional Ambiguities</w:t>
      </w:r>
    </w:p>
    <w:p w14:paraId="69AAFED5" w14:textId="11CB3958" w:rsidR="000216B5" w:rsidRPr="006244E8" w:rsidRDefault="000216B5" w:rsidP="000216B5">
      <w:pPr>
        <w:spacing w:after="210" w:line="360" w:lineRule="auto"/>
        <w:jc w:val="both"/>
        <w:rPr>
          <w:rFonts w:ascii="Times New Roman" w:hAnsi="Times New Roman" w:cs="Times New Roman"/>
          <w:bCs/>
          <w:sz w:val="24"/>
          <w:szCs w:val="24"/>
        </w:rPr>
      </w:pPr>
      <w:r w:rsidRPr="006244E8">
        <w:rPr>
          <w:rFonts w:ascii="Times New Roman" w:hAnsi="Times New Roman" w:cs="Times New Roman"/>
          <w:bCs/>
          <w:sz w:val="24"/>
          <w:szCs w:val="24"/>
        </w:rPr>
        <w:t>India is the leading jurisdiction to legislatively address the gig workers in the framework of its CSS-2020. Section 2(35) describes a gig worker as an individual that performs tasks, or is a part of a work arrangement, the output and income of which are based on the activities, and who is not linked by a conventional employer-employee connection</w:t>
      </w:r>
      <w:r w:rsidR="006D3B4E">
        <w:rPr>
          <w:rStyle w:val="FootnoteReference"/>
          <w:rFonts w:ascii="Times New Roman" w:hAnsi="Times New Roman" w:cs="Times New Roman"/>
          <w:bCs/>
          <w:sz w:val="24"/>
          <w:szCs w:val="24"/>
        </w:rPr>
        <w:footnoteReference w:id="26"/>
      </w:r>
      <w:r w:rsidRPr="006244E8">
        <w:rPr>
          <w:rFonts w:ascii="Times New Roman" w:hAnsi="Times New Roman" w:cs="Times New Roman"/>
          <w:bCs/>
          <w:sz w:val="24"/>
          <w:szCs w:val="24"/>
        </w:rPr>
        <w:t>. Section 2(62) is a definition of a platform worker</w:t>
      </w:r>
      <w:r w:rsidR="006D3B4E">
        <w:rPr>
          <w:rStyle w:val="FootnoteReference"/>
          <w:rFonts w:ascii="Times New Roman" w:hAnsi="Times New Roman" w:cs="Times New Roman"/>
          <w:bCs/>
          <w:sz w:val="24"/>
          <w:szCs w:val="24"/>
        </w:rPr>
        <w:footnoteReference w:id="27"/>
      </w:r>
      <w:r w:rsidRPr="006244E8">
        <w:rPr>
          <w:rFonts w:ascii="Times New Roman" w:hAnsi="Times New Roman" w:cs="Times New Roman"/>
          <w:bCs/>
          <w:sz w:val="24"/>
          <w:szCs w:val="24"/>
        </w:rPr>
        <w:t>. These definitions are progressive but lack operation clarity, the Codes do not tell how a worker is to be judged, so giving platforms discretionary authority to make their own arrangements instead of fulfilling their duties</w:t>
      </w:r>
      <w:r w:rsidR="006D3B4E">
        <w:rPr>
          <w:rStyle w:val="FootnoteReference"/>
          <w:rFonts w:ascii="Times New Roman" w:hAnsi="Times New Roman" w:cs="Times New Roman"/>
          <w:bCs/>
          <w:sz w:val="24"/>
          <w:szCs w:val="24"/>
        </w:rPr>
        <w:footnoteReference w:id="28"/>
      </w:r>
      <w:r w:rsidRPr="006244E8">
        <w:rPr>
          <w:rFonts w:ascii="Times New Roman" w:hAnsi="Times New Roman" w:cs="Times New Roman"/>
          <w:bCs/>
          <w:sz w:val="24"/>
          <w:szCs w:val="24"/>
        </w:rPr>
        <w:t>. More importantly, the Codes do not define the status of employment, which is whether platform workers are employees or contractors or a concave category</w:t>
      </w:r>
      <w:r w:rsidR="006D3B4E">
        <w:rPr>
          <w:rStyle w:val="FootnoteReference"/>
          <w:rFonts w:ascii="Times New Roman" w:hAnsi="Times New Roman" w:cs="Times New Roman"/>
          <w:bCs/>
          <w:sz w:val="24"/>
          <w:szCs w:val="24"/>
        </w:rPr>
        <w:footnoteReference w:id="29"/>
      </w:r>
      <w:r w:rsidRPr="006244E8">
        <w:rPr>
          <w:rFonts w:ascii="Times New Roman" w:hAnsi="Times New Roman" w:cs="Times New Roman"/>
          <w:bCs/>
          <w:sz w:val="24"/>
          <w:szCs w:val="24"/>
        </w:rPr>
        <w:t>.</w:t>
      </w:r>
    </w:p>
    <w:p w14:paraId="206BA95D" w14:textId="0BBA8379" w:rsidR="000216B5" w:rsidRPr="006244E8" w:rsidRDefault="000216B5" w:rsidP="000216B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Pr="006244E8">
        <w:rPr>
          <w:rFonts w:ascii="Times New Roman" w:hAnsi="Times New Roman" w:cs="Times New Roman"/>
          <w:b/>
          <w:bCs/>
          <w:sz w:val="24"/>
          <w:szCs w:val="24"/>
        </w:rPr>
        <w:t>The Selective Inclusion and Implementation Gaps of Social Security</w:t>
      </w:r>
    </w:p>
    <w:p w14:paraId="6FD27D8B" w14:textId="7CA37DC3"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CSS 2020 included Social Security and Section 109(2) gave the Central Government the power to come up with detailed schemes that involved life and disability cover, health services, maternity cover, old-age cover and accident insurance coverage </w:t>
      </w:r>
      <w:r w:rsidR="006D3B4E">
        <w:rPr>
          <w:rStyle w:val="FootnoteReference"/>
          <w:rFonts w:ascii="Times New Roman" w:hAnsi="Times New Roman" w:cs="Times New Roman"/>
          <w:sz w:val="24"/>
          <w:szCs w:val="24"/>
        </w:rPr>
        <w:footnoteReference w:id="30"/>
      </w:r>
      <w:r w:rsidRPr="006244E8">
        <w:rPr>
          <w:rFonts w:ascii="Times New Roman" w:hAnsi="Times New Roman" w:cs="Times New Roman"/>
          <w:sz w:val="24"/>
          <w:szCs w:val="24"/>
        </w:rPr>
        <w:t xml:space="preserve">. Section 114, in its turn, requires an aggregator-funded Social Security Fund to be funded at the rate of 1-2 percent every year and limited at 5 percent of the payments that will be received by workers </w:t>
      </w:r>
      <w:r w:rsidR="006D3B4E">
        <w:rPr>
          <w:rStyle w:val="FootnoteReference"/>
          <w:rFonts w:ascii="Times New Roman" w:hAnsi="Times New Roman" w:cs="Times New Roman"/>
          <w:sz w:val="24"/>
          <w:szCs w:val="24"/>
        </w:rPr>
        <w:footnoteReference w:id="31"/>
      </w:r>
      <w:r w:rsidRPr="006244E8">
        <w:rPr>
          <w:rFonts w:ascii="Times New Roman" w:hAnsi="Times New Roman" w:cs="Times New Roman"/>
          <w:sz w:val="24"/>
          <w:szCs w:val="24"/>
        </w:rPr>
        <w:t xml:space="preserve">. </w:t>
      </w:r>
      <w:proofErr w:type="gramStart"/>
      <w:r w:rsidRPr="006244E8">
        <w:rPr>
          <w:rFonts w:ascii="Times New Roman" w:hAnsi="Times New Roman" w:cs="Times New Roman"/>
          <w:sz w:val="24"/>
          <w:szCs w:val="24"/>
        </w:rPr>
        <w:t>However</w:t>
      </w:r>
      <w:proofErr w:type="gramEnd"/>
      <w:r w:rsidRPr="006244E8">
        <w:rPr>
          <w:rFonts w:ascii="Times New Roman" w:hAnsi="Times New Roman" w:cs="Times New Roman"/>
          <w:sz w:val="24"/>
          <w:szCs w:val="24"/>
        </w:rPr>
        <w:t xml:space="preserve"> these provisions are hasty at best, and dependent on the fulfilment of an executive agenda that has not been fulfilled </w:t>
      </w:r>
      <w:proofErr w:type="gramStart"/>
      <w:r w:rsidRPr="006244E8">
        <w:rPr>
          <w:rFonts w:ascii="Times New Roman" w:hAnsi="Times New Roman" w:cs="Times New Roman"/>
          <w:sz w:val="24"/>
          <w:szCs w:val="24"/>
        </w:rPr>
        <w:t>as yet</w:t>
      </w:r>
      <w:proofErr w:type="gramEnd"/>
      <w:r w:rsidRPr="006244E8">
        <w:rPr>
          <w:rFonts w:ascii="Times New Roman" w:hAnsi="Times New Roman" w:cs="Times New Roman"/>
          <w:sz w:val="24"/>
          <w:szCs w:val="24"/>
        </w:rPr>
        <w:t xml:space="preserve">. This weakness is painfully experienced in programs like e-Shram which, despite its outreach objective, still faces the challenge of enrolment and delivery especially of women </w:t>
      </w:r>
      <w:r w:rsidR="006D3B4E">
        <w:rPr>
          <w:rStyle w:val="FootnoteReference"/>
          <w:rFonts w:ascii="Times New Roman" w:hAnsi="Times New Roman" w:cs="Times New Roman"/>
          <w:sz w:val="24"/>
          <w:szCs w:val="24"/>
        </w:rPr>
        <w:footnoteReference w:id="32"/>
      </w:r>
      <w:r w:rsidRPr="006244E8">
        <w:rPr>
          <w:rFonts w:ascii="Times New Roman" w:hAnsi="Times New Roman" w:cs="Times New Roman"/>
          <w:sz w:val="24"/>
          <w:szCs w:val="24"/>
        </w:rPr>
        <w:t xml:space="preserve">. Significantly, the scheme does not include the provident fund, gratuity, or paid leave to the beneficiaries </w:t>
      </w:r>
      <w:r w:rsidR="006D3B4E">
        <w:rPr>
          <w:rStyle w:val="FootnoteReference"/>
          <w:rFonts w:ascii="Times New Roman" w:hAnsi="Times New Roman" w:cs="Times New Roman"/>
          <w:sz w:val="24"/>
          <w:szCs w:val="24"/>
        </w:rPr>
        <w:footnoteReference w:id="33"/>
      </w:r>
      <w:r w:rsidRPr="006244E8">
        <w:rPr>
          <w:rFonts w:ascii="Times New Roman" w:hAnsi="Times New Roman" w:cs="Times New Roman"/>
          <w:sz w:val="24"/>
          <w:szCs w:val="24"/>
        </w:rPr>
        <w:t xml:space="preserve">. As a result, enforcement loopholes between central and state governments create exclusionary pockets </w:t>
      </w:r>
      <w:r w:rsidR="006D3B4E">
        <w:rPr>
          <w:rStyle w:val="FootnoteReference"/>
          <w:rFonts w:ascii="Times New Roman" w:hAnsi="Times New Roman" w:cs="Times New Roman"/>
          <w:sz w:val="24"/>
          <w:szCs w:val="24"/>
        </w:rPr>
        <w:footnoteReference w:id="34"/>
      </w:r>
      <w:r w:rsidRPr="006244E8">
        <w:rPr>
          <w:rFonts w:ascii="Times New Roman" w:hAnsi="Times New Roman" w:cs="Times New Roman"/>
          <w:sz w:val="24"/>
          <w:szCs w:val="24"/>
        </w:rPr>
        <w:t xml:space="preserve">, and a non-existent registration and ineffective punishment make entitlements only imaginary </w:t>
      </w:r>
      <w:r w:rsidR="006D3B4E">
        <w:rPr>
          <w:rStyle w:val="FootnoteReference"/>
          <w:rFonts w:ascii="Times New Roman" w:hAnsi="Times New Roman" w:cs="Times New Roman"/>
          <w:sz w:val="24"/>
          <w:szCs w:val="24"/>
        </w:rPr>
        <w:footnoteReference w:id="35"/>
      </w:r>
      <w:r w:rsidRPr="006244E8">
        <w:rPr>
          <w:rFonts w:ascii="Times New Roman" w:hAnsi="Times New Roman" w:cs="Times New Roman"/>
          <w:sz w:val="24"/>
          <w:szCs w:val="24"/>
        </w:rPr>
        <w:t xml:space="preserve">. The condition has worsened in </w:t>
      </w:r>
      <w:r w:rsidRPr="006244E8">
        <w:rPr>
          <w:rFonts w:ascii="Times New Roman" w:hAnsi="Times New Roman" w:cs="Times New Roman"/>
          <w:sz w:val="24"/>
          <w:szCs w:val="24"/>
        </w:rPr>
        <w:lastRenderedPageBreak/>
        <w:t>the fall of 2026 with delays in the presentation of new regulations, which added millions of people who were still covered by the application of social protection [65].</w:t>
      </w:r>
    </w:p>
    <w:p w14:paraId="79272F02" w14:textId="77777777" w:rsidR="000216B5" w:rsidRPr="006244E8" w:rsidRDefault="000216B5" w:rsidP="000216B5">
      <w:pPr>
        <w:spacing w:before="240" w:line="271" w:lineRule="auto"/>
        <w:rPr>
          <w:rFonts w:ascii="Times New Roman" w:hAnsi="Times New Roman" w:cs="Times New Roman"/>
          <w:sz w:val="26"/>
          <w:szCs w:val="26"/>
        </w:rPr>
      </w:pPr>
      <w:bookmarkStart w:id="4" w:name="bm_3_regulatory_arbitrage_and_precarity"/>
      <w:r w:rsidRPr="006244E8">
        <w:rPr>
          <w:rFonts w:ascii="Times New Roman" w:hAnsi="Times New Roman" w:cs="Times New Roman"/>
          <w:b/>
          <w:sz w:val="26"/>
          <w:szCs w:val="26"/>
        </w:rPr>
        <w:t>3. Regulatory Arbitrage and Precarity</w:t>
      </w:r>
      <w:bookmarkEnd w:id="4"/>
    </w:p>
    <w:p w14:paraId="07D7F2CC" w14:textId="49940AAC"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Despite platforms circumventing their responsibilities by using regulatory arbitrage (playing the legality types to evade liabilities and expand their activities </w:t>
      </w:r>
      <w:r w:rsidR="006D3B4E">
        <w:rPr>
          <w:rStyle w:val="FootnoteReference"/>
          <w:rFonts w:ascii="Times New Roman" w:hAnsi="Times New Roman" w:cs="Times New Roman"/>
          <w:sz w:val="24"/>
          <w:szCs w:val="24"/>
        </w:rPr>
        <w:footnoteReference w:id="36"/>
      </w:r>
      <w:r w:rsidRPr="006244E8">
        <w:rPr>
          <w:rFonts w:ascii="Times New Roman" w:hAnsi="Times New Roman" w:cs="Times New Roman"/>
          <w:sz w:val="24"/>
          <w:szCs w:val="24"/>
        </w:rPr>
        <w:t xml:space="preserve">) they remain exempt from employer obligations by classifying workers as contractors in an upper-down algorithmic hierarchy </w:t>
      </w:r>
      <w:r w:rsidR="006D3B4E">
        <w:rPr>
          <w:rStyle w:val="FootnoteReference"/>
          <w:rFonts w:ascii="Times New Roman" w:hAnsi="Times New Roman" w:cs="Times New Roman"/>
          <w:sz w:val="24"/>
          <w:szCs w:val="24"/>
        </w:rPr>
        <w:footnoteReference w:id="37"/>
      </w:r>
      <w:r w:rsidRPr="006244E8">
        <w:rPr>
          <w:rFonts w:ascii="Times New Roman" w:hAnsi="Times New Roman" w:cs="Times New Roman"/>
          <w:sz w:val="24"/>
          <w:szCs w:val="24"/>
        </w:rPr>
        <w:t xml:space="preserve">. This approach makes precarity even worse: without a statutory minimum wage, employees are dependent on obscure algorithmic formats of prices, which are often below the subsistence </w:t>
      </w:r>
      <w:proofErr w:type="gramStart"/>
      <w:r w:rsidRPr="006244E8">
        <w:rPr>
          <w:rFonts w:ascii="Times New Roman" w:hAnsi="Times New Roman" w:cs="Times New Roman"/>
          <w:sz w:val="24"/>
          <w:szCs w:val="24"/>
        </w:rPr>
        <w:t>level .</w:t>
      </w:r>
      <w:proofErr w:type="gramEnd"/>
      <w:r w:rsidRPr="006244E8">
        <w:rPr>
          <w:rFonts w:ascii="Times New Roman" w:hAnsi="Times New Roman" w:cs="Times New Roman"/>
          <w:sz w:val="24"/>
          <w:szCs w:val="24"/>
        </w:rPr>
        <w:t xml:space="preserve"> Without social security, the consequent threat of disastrous poverty is eminent </w:t>
      </w:r>
      <w:r w:rsidR="006D3B4E">
        <w:rPr>
          <w:rStyle w:val="FootnoteReference"/>
          <w:rFonts w:ascii="Times New Roman" w:hAnsi="Times New Roman" w:cs="Times New Roman"/>
          <w:sz w:val="24"/>
          <w:szCs w:val="24"/>
        </w:rPr>
        <w:footnoteReference w:id="38"/>
      </w:r>
      <w:r w:rsidRPr="006244E8">
        <w:rPr>
          <w:rFonts w:ascii="Times New Roman" w:hAnsi="Times New Roman" w:cs="Times New Roman"/>
          <w:sz w:val="24"/>
          <w:szCs w:val="24"/>
        </w:rPr>
        <w:t xml:space="preserve">. The collective mechanisms are therefore weakened with fragmentation destroying solidarity </w:t>
      </w:r>
      <w:r w:rsidR="006D3B4E">
        <w:rPr>
          <w:rStyle w:val="FootnoteReference"/>
          <w:rFonts w:ascii="Times New Roman" w:hAnsi="Times New Roman" w:cs="Times New Roman"/>
          <w:sz w:val="24"/>
          <w:szCs w:val="24"/>
        </w:rPr>
        <w:footnoteReference w:id="39"/>
      </w:r>
      <w:r w:rsidRPr="006244E8">
        <w:rPr>
          <w:rFonts w:ascii="Times New Roman" w:hAnsi="Times New Roman" w:cs="Times New Roman"/>
          <w:sz w:val="24"/>
          <w:szCs w:val="24"/>
        </w:rPr>
        <w:t xml:space="preserve">and legal uncertainty gradually destroying gains in the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law and social equity</w:t>
      </w:r>
      <w:r w:rsidR="006D3B4E">
        <w:rPr>
          <w:rStyle w:val="FootnoteReference"/>
          <w:rFonts w:ascii="Times New Roman" w:hAnsi="Times New Roman" w:cs="Times New Roman"/>
          <w:sz w:val="24"/>
          <w:szCs w:val="24"/>
        </w:rPr>
        <w:footnoteReference w:id="40"/>
      </w:r>
      <w:r w:rsidRPr="006244E8">
        <w:rPr>
          <w:rFonts w:ascii="Times New Roman" w:hAnsi="Times New Roman" w:cs="Times New Roman"/>
          <w:sz w:val="24"/>
          <w:szCs w:val="24"/>
        </w:rPr>
        <w:t xml:space="preserve">. Over sixty per cent of the gig workers in urban India earn less than 15000 per month, which again clearly brings out the human price of the confusion in classification </w:t>
      </w:r>
      <w:r w:rsidR="006D3B4E">
        <w:rPr>
          <w:rStyle w:val="FootnoteReference"/>
          <w:rFonts w:ascii="Times New Roman" w:hAnsi="Times New Roman" w:cs="Times New Roman"/>
          <w:sz w:val="24"/>
          <w:szCs w:val="24"/>
        </w:rPr>
        <w:footnoteReference w:id="41"/>
      </w:r>
      <w:r w:rsidRPr="006244E8">
        <w:rPr>
          <w:rFonts w:ascii="Times New Roman" w:hAnsi="Times New Roman" w:cs="Times New Roman"/>
          <w:sz w:val="24"/>
          <w:szCs w:val="24"/>
        </w:rPr>
        <w:t>.</w:t>
      </w:r>
    </w:p>
    <w:p w14:paraId="028A2A32" w14:textId="317AC8F1" w:rsidR="000216B5" w:rsidRPr="006244E8" w:rsidRDefault="000216B5" w:rsidP="000216B5">
      <w:pPr>
        <w:rPr>
          <w:rFonts w:ascii="Times New Roman" w:hAnsi="Times New Roman" w:cs="Times New Roman"/>
          <w:b/>
          <w:bCs/>
          <w:sz w:val="26"/>
          <w:szCs w:val="26"/>
        </w:rPr>
      </w:pPr>
      <w:r w:rsidRPr="006244E8">
        <w:rPr>
          <w:rFonts w:ascii="Times New Roman" w:hAnsi="Times New Roman" w:cs="Times New Roman"/>
          <w:b/>
          <w:bCs/>
          <w:sz w:val="26"/>
          <w:szCs w:val="26"/>
        </w:rPr>
        <w:t>B. Human Rights Implications: Dignity and Article 21</w:t>
      </w:r>
    </w:p>
    <w:p w14:paraId="0981687B" w14:textId="7503AF00" w:rsidR="000216B5" w:rsidRPr="006244E8" w:rsidRDefault="000216B5" w:rsidP="000216B5">
      <w:pPr>
        <w:rPr>
          <w:rFonts w:ascii="Times New Roman" w:hAnsi="Times New Roman" w:cs="Times New Roman"/>
          <w:b/>
          <w:bCs/>
          <w:sz w:val="26"/>
          <w:szCs w:val="26"/>
        </w:rPr>
      </w:pPr>
      <w:r w:rsidRPr="006244E8">
        <w:rPr>
          <w:rFonts w:ascii="Times New Roman" w:hAnsi="Times New Roman" w:cs="Times New Roman"/>
          <w:b/>
          <w:bCs/>
          <w:sz w:val="26"/>
          <w:szCs w:val="26"/>
        </w:rPr>
        <w:t>1. Constitutional Guarantee of Livelihood and Dignity</w:t>
      </w:r>
    </w:p>
    <w:p w14:paraId="2B38E1ED" w14:textId="04FC8E55"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right to life implies the right to a human dignity of living </w:t>
      </w:r>
      <w:r w:rsidR="006D3B4E">
        <w:rPr>
          <w:rStyle w:val="FootnoteReference"/>
          <w:rFonts w:ascii="Times New Roman" w:hAnsi="Times New Roman" w:cs="Times New Roman"/>
          <w:sz w:val="24"/>
          <w:szCs w:val="24"/>
        </w:rPr>
        <w:footnoteReference w:id="42"/>
      </w:r>
      <w:r w:rsidRPr="006244E8">
        <w:rPr>
          <w:rFonts w:ascii="Times New Roman" w:hAnsi="Times New Roman" w:cs="Times New Roman"/>
          <w:sz w:val="24"/>
          <w:szCs w:val="24"/>
        </w:rPr>
        <w:t xml:space="preserve">. The Supreme Court has stated that livelihood is a part of human existence and taking away of livelihood amounts to the breach of Article </w:t>
      </w:r>
      <w:proofErr w:type="gramStart"/>
      <w:r w:rsidRPr="006244E8">
        <w:rPr>
          <w:rFonts w:ascii="Times New Roman" w:hAnsi="Times New Roman" w:cs="Times New Roman"/>
          <w:sz w:val="24"/>
          <w:szCs w:val="24"/>
        </w:rPr>
        <w:t>21 .</w:t>
      </w:r>
      <w:proofErr w:type="gramEnd"/>
      <w:r w:rsidRPr="006244E8">
        <w:rPr>
          <w:rFonts w:ascii="Times New Roman" w:hAnsi="Times New Roman" w:cs="Times New Roman"/>
          <w:sz w:val="24"/>
          <w:szCs w:val="24"/>
        </w:rPr>
        <w:t xml:space="preserve"> In </w:t>
      </w:r>
      <w:r>
        <w:rPr>
          <w:rFonts w:ascii="Times New Roman" w:hAnsi="Times New Roman" w:cs="Times New Roman"/>
          <w:sz w:val="24"/>
          <w:szCs w:val="24"/>
        </w:rPr>
        <w:t>“</w:t>
      </w:r>
      <w:r w:rsidRPr="006244E8">
        <w:rPr>
          <w:rFonts w:ascii="Times New Roman" w:hAnsi="Times New Roman" w:cs="Times New Roman"/>
          <w:sz w:val="24"/>
          <w:szCs w:val="24"/>
        </w:rPr>
        <w:t>Olga Tellis v. The Court</w:t>
      </w:r>
      <w:r>
        <w:rPr>
          <w:rFonts w:ascii="Times New Roman" w:hAnsi="Times New Roman" w:cs="Times New Roman"/>
          <w:sz w:val="24"/>
          <w:szCs w:val="24"/>
        </w:rPr>
        <w:t>”</w:t>
      </w:r>
      <w:r w:rsidRPr="006244E8">
        <w:rPr>
          <w:rFonts w:ascii="Times New Roman" w:hAnsi="Times New Roman" w:cs="Times New Roman"/>
          <w:sz w:val="24"/>
          <w:szCs w:val="24"/>
        </w:rPr>
        <w:t xml:space="preserve"> stated; Bombay Municipal Corporation, the right of life continues to the right of livelihood... Unless this right can be considered as a Constitutional right, among the most straightforward methods of denying a man his life is to deny him his livelihood. The v. People Democratic Rights Union. Union of India* once again confirmed that every worker regardless of legal status also had a constitutional right to a minimum wage and reasonable living conditions </w:t>
      </w:r>
      <w:r w:rsidR="006D3B4E">
        <w:rPr>
          <w:rStyle w:val="FootnoteReference"/>
          <w:rFonts w:ascii="Times New Roman" w:hAnsi="Times New Roman" w:cs="Times New Roman"/>
          <w:sz w:val="24"/>
          <w:szCs w:val="24"/>
        </w:rPr>
        <w:footnoteReference w:id="43"/>
      </w:r>
      <w:r w:rsidRPr="006244E8">
        <w:rPr>
          <w:rFonts w:ascii="Times New Roman" w:hAnsi="Times New Roman" w:cs="Times New Roman"/>
          <w:sz w:val="24"/>
          <w:szCs w:val="24"/>
        </w:rPr>
        <w:t>.</w:t>
      </w:r>
    </w:p>
    <w:p w14:paraId="40400BE0" w14:textId="77777777" w:rsidR="000216B5" w:rsidRDefault="000216B5" w:rsidP="000216B5">
      <w:pPr>
        <w:spacing w:before="240" w:line="271" w:lineRule="auto"/>
      </w:pPr>
      <w:r>
        <w:rPr>
          <w:b/>
          <w:sz w:val="28"/>
        </w:rPr>
        <w:t>2. Platform Work and Erosion of Dignity</w:t>
      </w:r>
    </w:p>
    <w:p w14:paraId="4FD3BF4A" w14:textId="446A230A"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Dignity is systematically destroyed by platform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To begin with, contractual classification deprives workers of being rights bearing subjects </w:t>
      </w:r>
      <w:r w:rsidR="006D3B4E">
        <w:rPr>
          <w:rStyle w:val="FootnoteReference"/>
          <w:rFonts w:ascii="Times New Roman" w:hAnsi="Times New Roman" w:cs="Times New Roman"/>
          <w:sz w:val="24"/>
          <w:szCs w:val="24"/>
        </w:rPr>
        <w:footnoteReference w:id="44"/>
      </w:r>
      <w:r w:rsidRPr="006244E8">
        <w:rPr>
          <w:rFonts w:ascii="Times New Roman" w:hAnsi="Times New Roman" w:cs="Times New Roman"/>
          <w:sz w:val="24"/>
          <w:szCs w:val="24"/>
        </w:rPr>
        <w:t xml:space="preserve">. Secondly, platforms drain </w:t>
      </w:r>
      <w:r w:rsidRPr="006244E8">
        <w:rPr>
          <w:rFonts w:ascii="Times New Roman" w:hAnsi="Times New Roman" w:cs="Times New Roman"/>
          <w:sz w:val="24"/>
          <w:szCs w:val="24"/>
        </w:rPr>
        <w:lastRenderedPageBreak/>
        <w:t xml:space="preserve">in the invisible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time wasted idly, communicating with the app, and non-paid training, which is not compensated nor acknowledged as necessary </w:t>
      </w:r>
      <w:r w:rsidR="006D3B4E">
        <w:rPr>
          <w:rStyle w:val="FootnoteReference"/>
          <w:rFonts w:ascii="Times New Roman" w:hAnsi="Times New Roman" w:cs="Times New Roman"/>
          <w:sz w:val="24"/>
          <w:szCs w:val="24"/>
        </w:rPr>
        <w:footnoteReference w:id="45"/>
      </w:r>
      <w:r w:rsidRPr="006244E8">
        <w:rPr>
          <w:rFonts w:ascii="Times New Roman" w:hAnsi="Times New Roman" w:cs="Times New Roman"/>
          <w:sz w:val="24"/>
          <w:szCs w:val="24"/>
        </w:rPr>
        <w:t xml:space="preserve">. Third, algorithmic management </w:t>
      </w:r>
      <w:proofErr w:type="gramStart"/>
      <w:r w:rsidRPr="006244E8">
        <w:rPr>
          <w:rFonts w:ascii="Times New Roman" w:hAnsi="Times New Roman" w:cs="Times New Roman"/>
          <w:sz w:val="24"/>
          <w:szCs w:val="24"/>
        </w:rPr>
        <w:t>subjects</w:t>
      </w:r>
      <w:proofErr w:type="gramEnd"/>
      <w:r w:rsidRPr="006244E8">
        <w:rPr>
          <w:rFonts w:ascii="Times New Roman" w:hAnsi="Times New Roman" w:cs="Times New Roman"/>
          <w:sz w:val="24"/>
          <w:szCs w:val="24"/>
        </w:rPr>
        <w:t xml:space="preserve"> workers to non-transparent choices related to distribution, profits, ratings and disabling, without the possibility of an appeal process </w:t>
      </w:r>
      <w:r w:rsidR="006D3B4E">
        <w:rPr>
          <w:rStyle w:val="FootnoteReference"/>
          <w:rFonts w:ascii="Times New Roman" w:hAnsi="Times New Roman" w:cs="Times New Roman"/>
          <w:sz w:val="24"/>
          <w:szCs w:val="24"/>
        </w:rPr>
        <w:footnoteReference w:id="46"/>
      </w:r>
      <w:r w:rsidRPr="006244E8">
        <w:rPr>
          <w:rFonts w:ascii="Times New Roman" w:hAnsi="Times New Roman" w:cs="Times New Roman"/>
          <w:sz w:val="24"/>
          <w:szCs w:val="24"/>
        </w:rPr>
        <w:t xml:space="preserve">. Discrimination based on gender, caste or geography is masked through opacity </w:t>
      </w:r>
      <w:r w:rsidR="006D3B4E">
        <w:rPr>
          <w:rStyle w:val="FootnoteReference"/>
          <w:rFonts w:ascii="Times New Roman" w:hAnsi="Times New Roman" w:cs="Times New Roman"/>
          <w:sz w:val="24"/>
          <w:szCs w:val="24"/>
        </w:rPr>
        <w:footnoteReference w:id="47"/>
      </w:r>
      <w:r w:rsidRPr="006244E8">
        <w:rPr>
          <w:rFonts w:ascii="Times New Roman" w:hAnsi="Times New Roman" w:cs="Times New Roman"/>
          <w:sz w:val="24"/>
          <w:szCs w:val="24"/>
        </w:rPr>
        <w:t xml:space="preserve">. Fourthly, mental health and safety are endangered by income instability and work-acceleration; but platforms refuse to accept any </w:t>
      </w:r>
      <w:proofErr w:type="gramStart"/>
      <w:r w:rsidRPr="006244E8">
        <w:rPr>
          <w:rFonts w:ascii="Times New Roman" w:hAnsi="Times New Roman" w:cs="Times New Roman"/>
          <w:sz w:val="24"/>
          <w:szCs w:val="24"/>
        </w:rPr>
        <w:t>responsibility, or</w:t>
      </w:r>
      <w:proofErr w:type="gramEnd"/>
      <w:r w:rsidRPr="006244E8">
        <w:rPr>
          <w:rFonts w:ascii="Times New Roman" w:hAnsi="Times New Roman" w:cs="Times New Roman"/>
          <w:sz w:val="24"/>
          <w:szCs w:val="24"/>
        </w:rPr>
        <w:t xml:space="preserve"> offer no protective gear and injury indemnities </w:t>
      </w:r>
      <w:r w:rsidR="006D3B4E">
        <w:rPr>
          <w:rStyle w:val="FootnoteReference"/>
          <w:rFonts w:ascii="Times New Roman" w:hAnsi="Times New Roman" w:cs="Times New Roman"/>
          <w:sz w:val="24"/>
          <w:szCs w:val="24"/>
        </w:rPr>
        <w:footnoteReference w:id="48"/>
      </w:r>
      <w:r w:rsidRPr="006244E8">
        <w:rPr>
          <w:rFonts w:ascii="Times New Roman" w:hAnsi="Times New Roman" w:cs="Times New Roman"/>
          <w:sz w:val="24"/>
          <w:szCs w:val="24"/>
        </w:rPr>
        <w:t xml:space="preserve">. </w:t>
      </w:r>
      <w:proofErr w:type="gramStart"/>
      <w:r w:rsidRPr="006244E8">
        <w:rPr>
          <w:rFonts w:ascii="Times New Roman" w:hAnsi="Times New Roman" w:cs="Times New Roman"/>
          <w:sz w:val="24"/>
          <w:szCs w:val="24"/>
        </w:rPr>
        <w:t>On</w:t>
      </w:r>
      <w:proofErr w:type="gramEnd"/>
      <w:r w:rsidRPr="006244E8">
        <w:rPr>
          <w:rFonts w:ascii="Times New Roman" w:hAnsi="Times New Roman" w:cs="Times New Roman"/>
          <w:sz w:val="24"/>
          <w:szCs w:val="24"/>
        </w:rPr>
        <w:t xml:space="preserve"> 2025, trade union observation recorded that it observed a 25 per cent increase in cases where there had been no due process in deactivation proceedings </w:t>
      </w:r>
      <w:r w:rsidR="006D3B4E">
        <w:rPr>
          <w:rStyle w:val="FootnoteReference"/>
          <w:rFonts w:ascii="Times New Roman" w:hAnsi="Times New Roman" w:cs="Times New Roman"/>
          <w:sz w:val="24"/>
          <w:szCs w:val="24"/>
        </w:rPr>
        <w:footnoteReference w:id="49"/>
      </w:r>
      <w:r w:rsidRPr="006244E8">
        <w:rPr>
          <w:rFonts w:ascii="Times New Roman" w:hAnsi="Times New Roman" w:cs="Times New Roman"/>
          <w:sz w:val="24"/>
          <w:szCs w:val="24"/>
        </w:rPr>
        <w:t>.</w:t>
      </w:r>
    </w:p>
    <w:p w14:paraId="095E4989" w14:textId="77777777" w:rsidR="000216B5" w:rsidRPr="006244E8" w:rsidRDefault="000216B5" w:rsidP="000216B5">
      <w:pPr>
        <w:spacing w:before="240" w:line="271" w:lineRule="auto"/>
        <w:rPr>
          <w:rFonts w:ascii="Times New Roman" w:hAnsi="Times New Roman" w:cs="Times New Roman"/>
        </w:rPr>
      </w:pPr>
      <w:bookmarkStart w:id="5" w:name="bm_3_international_human_rights_o_8080a6"/>
      <w:r w:rsidRPr="006244E8">
        <w:rPr>
          <w:rFonts w:ascii="Times New Roman" w:hAnsi="Times New Roman" w:cs="Times New Roman"/>
          <w:b/>
          <w:sz w:val="28"/>
        </w:rPr>
        <w:t>3. International Human Rights Obligations</w:t>
      </w:r>
      <w:bookmarkEnd w:id="5"/>
    </w:p>
    <w:p w14:paraId="53529CFF" w14:textId="27A07FE6"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IHRO has international responsibility on human rights. The issue of platform work abuses is severe and falls in the category of the ICESCR that recognizes the right of a decent living environment, fair working conditions, and welfare </w:t>
      </w:r>
      <w:r w:rsidR="006D3B4E">
        <w:rPr>
          <w:rStyle w:val="FootnoteReference"/>
          <w:rFonts w:ascii="Times New Roman" w:hAnsi="Times New Roman" w:cs="Times New Roman"/>
          <w:sz w:val="24"/>
          <w:szCs w:val="24"/>
        </w:rPr>
        <w:footnoteReference w:id="50"/>
      </w:r>
      <w:r w:rsidRPr="006244E8">
        <w:rPr>
          <w:rFonts w:ascii="Times New Roman" w:hAnsi="Times New Roman" w:cs="Times New Roman"/>
          <w:sz w:val="24"/>
          <w:szCs w:val="24"/>
        </w:rPr>
        <w:t xml:space="preserve">. Article 6 guarantees the right to free choice of work; Article 7 provides fair wages and safe working conditions </w:t>
      </w:r>
      <w:r w:rsidR="006D3B4E">
        <w:rPr>
          <w:rStyle w:val="FootnoteReference"/>
          <w:rFonts w:ascii="Times New Roman" w:hAnsi="Times New Roman" w:cs="Times New Roman"/>
          <w:sz w:val="24"/>
          <w:szCs w:val="24"/>
        </w:rPr>
        <w:footnoteReference w:id="51"/>
      </w:r>
      <w:r w:rsidRPr="006244E8">
        <w:rPr>
          <w:rFonts w:ascii="Times New Roman" w:hAnsi="Times New Roman" w:cs="Times New Roman"/>
          <w:sz w:val="24"/>
          <w:szCs w:val="24"/>
        </w:rPr>
        <w:t xml:space="preserve">. This work is platform work, that is, volatile income, the lack of social security, unsafe working conditions, and non-often collective rights systematically violate these </w:t>
      </w:r>
      <w:proofErr w:type="gramStart"/>
      <w:r w:rsidRPr="006244E8">
        <w:rPr>
          <w:rFonts w:ascii="Times New Roman" w:hAnsi="Times New Roman" w:cs="Times New Roman"/>
          <w:sz w:val="24"/>
          <w:szCs w:val="24"/>
        </w:rPr>
        <w:t>rights .</w:t>
      </w:r>
      <w:proofErr w:type="gramEnd"/>
      <w:r w:rsidRPr="006244E8">
        <w:rPr>
          <w:rFonts w:ascii="Times New Roman" w:hAnsi="Times New Roman" w:cs="Times New Roman"/>
          <w:sz w:val="24"/>
          <w:szCs w:val="24"/>
        </w:rPr>
        <w:t xml:space="preserve"> The inability of the current codes to safeguard platform employees is also violating constitutional and international laws.</w:t>
      </w:r>
    </w:p>
    <w:p w14:paraId="235DCAA4" w14:textId="0560C997" w:rsidR="000216B5" w:rsidRPr="006244E8" w:rsidRDefault="000216B5" w:rsidP="000216B5">
      <w:pPr>
        <w:rPr>
          <w:rFonts w:ascii="Times New Roman" w:hAnsi="Times New Roman" w:cs="Times New Roman"/>
          <w:b/>
          <w:bCs/>
          <w:sz w:val="26"/>
          <w:szCs w:val="26"/>
        </w:rPr>
      </w:pPr>
      <w:r w:rsidRPr="006244E8">
        <w:rPr>
          <w:rFonts w:ascii="Times New Roman" w:hAnsi="Times New Roman" w:cs="Times New Roman"/>
          <w:b/>
          <w:bCs/>
          <w:sz w:val="26"/>
          <w:szCs w:val="26"/>
        </w:rPr>
        <w:t>C. Collective Bargaining Rights and ILO Convention No. 98</w:t>
      </w:r>
    </w:p>
    <w:p w14:paraId="6033B903" w14:textId="5A6DBC2E" w:rsidR="000216B5" w:rsidRPr="006244E8" w:rsidRDefault="000216B5" w:rsidP="000216B5">
      <w:pPr>
        <w:rPr>
          <w:rFonts w:ascii="Times New Roman" w:hAnsi="Times New Roman" w:cs="Times New Roman"/>
          <w:b/>
          <w:bCs/>
          <w:sz w:val="26"/>
          <w:szCs w:val="26"/>
        </w:rPr>
      </w:pPr>
      <w:r w:rsidRPr="006244E8">
        <w:rPr>
          <w:rFonts w:ascii="Times New Roman" w:hAnsi="Times New Roman" w:cs="Times New Roman"/>
          <w:b/>
          <w:bCs/>
          <w:sz w:val="26"/>
          <w:szCs w:val="26"/>
        </w:rPr>
        <w:t xml:space="preserve">1. The right to </w:t>
      </w:r>
      <w:proofErr w:type="spellStart"/>
      <w:r w:rsidRPr="006244E8">
        <w:rPr>
          <w:rFonts w:ascii="Times New Roman" w:hAnsi="Times New Roman" w:cs="Times New Roman"/>
          <w:b/>
          <w:bCs/>
          <w:sz w:val="26"/>
          <w:szCs w:val="26"/>
        </w:rPr>
        <w:t>organise</w:t>
      </w:r>
      <w:proofErr w:type="spellEnd"/>
      <w:r w:rsidRPr="006244E8">
        <w:rPr>
          <w:rFonts w:ascii="Times New Roman" w:hAnsi="Times New Roman" w:cs="Times New Roman"/>
          <w:b/>
          <w:bCs/>
          <w:sz w:val="26"/>
          <w:szCs w:val="26"/>
        </w:rPr>
        <w:t xml:space="preserve"> and bargain collectively</w:t>
      </w:r>
    </w:p>
    <w:p w14:paraId="2A3BB994" w14:textId="37C3F947"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The freedom to form and negotiate with collective bargaining is a core right as accepted by ILO Convention No. 98 to which India is a signatory</w:t>
      </w:r>
      <w:r w:rsidR="006E0C4A">
        <w:rPr>
          <w:rStyle w:val="FootnoteReference"/>
          <w:rFonts w:ascii="Times New Roman" w:hAnsi="Times New Roman" w:cs="Times New Roman"/>
          <w:sz w:val="24"/>
          <w:szCs w:val="24"/>
        </w:rPr>
        <w:footnoteReference w:id="52"/>
      </w:r>
      <w:r w:rsidRPr="006244E8">
        <w:rPr>
          <w:rFonts w:ascii="Times New Roman" w:hAnsi="Times New Roman" w:cs="Times New Roman"/>
          <w:sz w:val="24"/>
          <w:szCs w:val="24"/>
        </w:rPr>
        <w:t xml:space="preserve">. Article 1 forbids anti-union discrimination, whereas </w:t>
      </w:r>
      <w:proofErr w:type="gramStart"/>
      <w:r w:rsidRPr="006244E8">
        <w:rPr>
          <w:rFonts w:ascii="Times New Roman" w:hAnsi="Times New Roman" w:cs="Times New Roman"/>
          <w:sz w:val="24"/>
          <w:szCs w:val="24"/>
        </w:rPr>
        <w:t>Article</w:t>
      </w:r>
      <w:proofErr w:type="gramEnd"/>
      <w:r w:rsidRPr="006244E8">
        <w:rPr>
          <w:rFonts w:ascii="Times New Roman" w:hAnsi="Times New Roman" w:cs="Times New Roman"/>
          <w:sz w:val="24"/>
          <w:szCs w:val="24"/>
        </w:rPr>
        <w:t xml:space="preserve"> 2 and 4 require the creation of a mechanism that would help in the voluntary negotiation </w:t>
      </w:r>
      <w:r w:rsidR="006E0C4A">
        <w:rPr>
          <w:rStyle w:val="FootnoteReference"/>
          <w:rFonts w:ascii="Times New Roman" w:hAnsi="Times New Roman" w:cs="Times New Roman"/>
          <w:sz w:val="24"/>
          <w:szCs w:val="24"/>
        </w:rPr>
        <w:footnoteReference w:id="53"/>
      </w:r>
      <w:r w:rsidRPr="006244E8">
        <w:rPr>
          <w:rFonts w:ascii="Times New Roman" w:hAnsi="Times New Roman" w:cs="Times New Roman"/>
          <w:sz w:val="24"/>
          <w:szCs w:val="24"/>
        </w:rPr>
        <w:t xml:space="preserve">. Taken together, these provisions allow workers to engage in such negotiation of agreed conditions and thus level power imbalances and create peace in the </w:t>
      </w:r>
      <w:r w:rsidRPr="006244E8">
        <w:rPr>
          <w:rFonts w:ascii="Times New Roman" w:hAnsi="Times New Roman" w:cs="Times New Roman"/>
          <w:sz w:val="24"/>
          <w:szCs w:val="24"/>
        </w:rPr>
        <w:lastRenderedPageBreak/>
        <w:t xml:space="preserve">industry </w:t>
      </w:r>
      <w:r w:rsidR="006E0C4A">
        <w:rPr>
          <w:rStyle w:val="FootnoteReference"/>
          <w:rFonts w:ascii="Times New Roman" w:hAnsi="Times New Roman" w:cs="Times New Roman"/>
          <w:sz w:val="24"/>
          <w:szCs w:val="24"/>
        </w:rPr>
        <w:footnoteReference w:id="54"/>
      </w:r>
      <w:r w:rsidRPr="006244E8">
        <w:rPr>
          <w:rFonts w:ascii="Times New Roman" w:hAnsi="Times New Roman" w:cs="Times New Roman"/>
          <w:sz w:val="24"/>
          <w:szCs w:val="24"/>
        </w:rPr>
        <w:t xml:space="preserve">. Collective rights play a significant role in the broken, algorithmically mediated gig workforce, as a clear challenge to established practices, </w:t>
      </w:r>
      <w:proofErr w:type="gramStart"/>
      <w:r w:rsidRPr="006244E8">
        <w:rPr>
          <w:rFonts w:ascii="Times New Roman" w:hAnsi="Times New Roman" w:cs="Times New Roman"/>
          <w:sz w:val="24"/>
          <w:szCs w:val="24"/>
        </w:rPr>
        <w:t>and also</w:t>
      </w:r>
      <w:proofErr w:type="gramEnd"/>
      <w:r w:rsidRPr="006244E8">
        <w:rPr>
          <w:rFonts w:ascii="Times New Roman" w:hAnsi="Times New Roman" w:cs="Times New Roman"/>
          <w:sz w:val="24"/>
          <w:szCs w:val="24"/>
        </w:rPr>
        <w:t xml:space="preserve"> in ensuring protection </w:t>
      </w:r>
      <w:r w:rsidR="006E0C4A">
        <w:rPr>
          <w:rStyle w:val="FootnoteReference"/>
          <w:rFonts w:ascii="Times New Roman" w:hAnsi="Times New Roman" w:cs="Times New Roman"/>
          <w:sz w:val="24"/>
          <w:szCs w:val="24"/>
        </w:rPr>
        <w:footnoteReference w:id="55"/>
      </w:r>
      <w:r w:rsidRPr="006244E8">
        <w:rPr>
          <w:rFonts w:ascii="Times New Roman" w:hAnsi="Times New Roman" w:cs="Times New Roman"/>
          <w:sz w:val="24"/>
          <w:szCs w:val="24"/>
        </w:rPr>
        <w:t>.</w:t>
      </w:r>
    </w:p>
    <w:p w14:paraId="504B3410" w14:textId="26B31DB1" w:rsidR="000216B5" w:rsidRPr="00314F94" w:rsidRDefault="000216B5" w:rsidP="000216B5">
      <w:pPr>
        <w:rPr>
          <w:rFonts w:ascii="Times New Roman" w:hAnsi="Times New Roman" w:cs="Times New Roman"/>
          <w:b/>
          <w:bCs/>
          <w:sz w:val="26"/>
          <w:szCs w:val="26"/>
        </w:rPr>
      </w:pPr>
      <w:r w:rsidRPr="00314F94">
        <w:rPr>
          <w:rFonts w:ascii="Times New Roman" w:hAnsi="Times New Roman" w:cs="Times New Roman"/>
          <w:b/>
          <w:bCs/>
          <w:sz w:val="26"/>
          <w:szCs w:val="26"/>
        </w:rPr>
        <w:t>2. Barriers to Collective Action</w:t>
      </w:r>
    </w:p>
    <w:p w14:paraId="0FEF6A0A" w14:textId="60005716"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Platform workers are faced with legal, structural, and technological challenges. To begin with, they are not subject to contractual classification and IRC2020, which only applies to unions representing employees </w:t>
      </w:r>
      <w:r w:rsidR="006E0C4A">
        <w:rPr>
          <w:rStyle w:val="FootnoteReference"/>
          <w:rFonts w:ascii="Times New Roman" w:hAnsi="Times New Roman" w:cs="Times New Roman"/>
          <w:sz w:val="24"/>
          <w:szCs w:val="24"/>
        </w:rPr>
        <w:footnoteReference w:id="56"/>
      </w:r>
      <w:r w:rsidRPr="006244E8">
        <w:rPr>
          <w:rFonts w:ascii="Times New Roman" w:hAnsi="Times New Roman" w:cs="Times New Roman"/>
          <w:sz w:val="24"/>
          <w:szCs w:val="24"/>
        </w:rPr>
        <w:t xml:space="preserve">. Second, the workers are geographically and temporally differentiated by the algorithmic </w:t>
      </w:r>
      <w:proofErr w:type="gramStart"/>
      <w:r w:rsidRPr="006244E8">
        <w:rPr>
          <w:rFonts w:ascii="Times New Roman" w:hAnsi="Times New Roman" w:cs="Times New Roman"/>
          <w:sz w:val="24"/>
          <w:szCs w:val="24"/>
        </w:rPr>
        <w:t>management</w:t>
      </w:r>
      <w:proofErr w:type="gramEnd"/>
      <w:r w:rsidRPr="006244E8">
        <w:rPr>
          <w:rFonts w:ascii="Times New Roman" w:hAnsi="Times New Roman" w:cs="Times New Roman"/>
          <w:sz w:val="24"/>
          <w:szCs w:val="24"/>
        </w:rPr>
        <w:t xml:space="preserve"> and the collective identity is eroded </w:t>
      </w:r>
      <w:r w:rsidR="006E0C4A">
        <w:rPr>
          <w:rStyle w:val="FootnoteReference"/>
          <w:rFonts w:ascii="Times New Roman" w:hAnsi="Times New Roman" w:cs="Times New Roman"/>
          <w:sz w:val="24"/>
          <w:szCs w:val="24"/>
        </w:rPr>
        <w:footnoteReference w:id="57"/>
      </w:r>
      <w:r w:rsidRPr="006244E8">
        <w:rPr>
          <w:rFonts w:ascii="Times New Roman" w:hAnsi="Times New Roman" w:cs="Times New Roman"/>
          <w:sz w:val="24"/>
          <w:szCs w:val="24"/>
        </w:rPr>
        <w:t xml:space="preserve">. Third, the platforms actively discourage the collective behaviors by including the contractual agreements about the restricted concerted actions and using the unilateral means of deactivation that penalize the dissent without the procedural protection </w:t>
      </w:r>
      <w:r w:rsidR="006E0C4A">
        <w:rPr>
          <w:rStyle w:val="FootnoteReference"/>
          <w:rFonts w:ascii="Times New Roman" w:hAnsi="Times New Roman" w:cs="Times New Roman"/>
          <w:sz w:val="24"/>
          <w:szCs w:val="24"/>
        </w:rPr>
        <w:footnoteReference w:id="58"/>
      </w:r>
      <w:r w:rsidRPr="006244E8">
        <w:rPr>
          <w:rFonts w:ascii="Times New Roman" w:hAnsi="Times New Roman" w:cs="Times New Roman"/>
          <w:sz w:val="24"/>
          <w:szCs w:val="24"/>
        </w:rPr>
        <w:t>.</w:t>
      </w:r>
    </w:p>
    <w:p w14:paraId="1F889662" w14:textId="77777777" w:rsidR="000216B5" w:rsidRPr="006244E8" w:rsidRDefault="000216B5" w:rsidP="000216B5">
      <w:pPr>
        <w:spacing w:before="240" w:line="360" w:lineRule="auto"/>
        <w:jc w:val="both"/>
        <w:rPr>
          <w:rFonts w:ascii="Times New Roman" w:hAnsi="Times New Roman" w:cs="Times New Roman"/>
          <w:sz w:val="26"/>
          <w:szCs w:val="26"/>
        </w:rPr>
      </w:pPr>
      <w:bookmarkStart w:id="6" w:name="d_algorithmic_management_and_acco_8b13dd"/>
      <w:r w:rsidRPr="006244E8">
        <w:rPr>
          <w:rFonts w:ascii="Times New Roman" w:hAnsi="Times New Roman" w:cs="Times New Roman"/>
          <w:b/>
          <w:sz w:val="26"/>
          <w:szCs w:val="26"/>
        </w:rPr>
        <w:t>D. Algorithmic Management and Accountability</w:t>
      </w:r>
      <w:bookmarkEnd w:id="6"/>
    </w:p>
    <w:p w14:paraId="55FE01F8" w14:textId="77777777" w:rsidR="000216B5" w:rsidRPr="006244E8" w:rsidRDefault="000216B5" w:rsidP="000216B5">
      <w:pPr>
        <w:spacing w:before="240" w:line="360" w:lineRule="auto"/>
        <w:jc w:val="both"/>
        <w:rPr>
          <w:rFonts w:ascii="Times New Roman" w:hAnsi="Times New Roman" w:cs="Times New Roman"/>
          <w:sz w:val="26"/>
          <w:szCs w:val="26"/>
        </w:rPr>
      </w:pPr>
      <w:bookmarkStart w:id="7" w:name="bm_1_nature_and_implications_of_a_9e9a83"/>
      <w:r w:rsidRPr="006244E8">
        <w:rPr>
          <w:rFonts w:ascii="Times New Roman" w:hAnsi="Times New Roman" w:cs="Times New Roman"/>
          <w:b/>
          <w:sz w:val="26"/>
          <w:szCs w:val="26"/>
        </w:rPr>
        <w:t>1. Nature and Implications of Algorithmic Control</w:t>
      </w:r>
      <w:bookmarkEnd w:id="7"/>
    </w:p>
    <w:p w14:paraId="04689E1C" w14:textId="07014320"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paradigm of platform work is algorithmic management, which involves using </w:t>
      </w:r>
      <w:proofErr w:type="spellStart"/>
      <w:r w:rsidRPr="006244E8">
        <w:rPr>
          <w:rFonts w:ascii="Times New Roman" w:hAnsi="Times New Roman" w:cs="Times New Roman"/>
          <w:sz w:val="24"/>
          <w:szCs w:val="24"/>
        </w:rPr>
        <w:t>computerised</w:t>
      </w:r>
      <w:proofErr w:type="spellEnd"/>
      <w:r w:rsidRPr="006244E8">
        <w:rPr>
          <w:rFonts w:ascii="Times New Roman" w:hAnsi="Times New Roman" w:cs="Times New Roman"/>
          <w:sz w:val="24"/>
          <w:szCs w:val="24"/>
        </w:rPr>
        <w:t xml:space="preserve"> systems to assign work, track performance, recompense users and discipline them. In contrast to the supposedly transparent nature of human supervision, algorithms are used opaquely</w:t>
      </w:r>
      <w:r w:rsidR="006E0C4A">
        <w:rPr>
          <w:rStyle w:val="FootnoteReference"/>
          <w:rFonts w:ascii="Times New Roman" w:hAnsi="Times New Roman" w:cs="Times New Roman"/>
          <w:sz w:val="24"/>
          <w:szCs w:val="24"/>
        </w:rPr>
        <w:footnoteReference w:id="59"/>
      </w:r>
      <w:r w:rsidRPr="006244E8">
        <w:rPr>
          <w:rFonts w:ascii="Times New Roman" w:hAnsi="Times New Roman" w:cs="Times New Roman"/>
          <w:sz w:val="24"/>
          <w:szCs w:val="24"/>
        </w:rPr>
        <w:t>, driving task assignment in terms of factors that include location, ratings and acceptance rates; setting up dynamic pricing systems; tracking workers in real time; and when thought appropriate, punitive actions or deactivating accounts without any human intervention. This is problematic in that the choice of decision is obscured and not subject to accountability, leaving the risk on the workers to take on the variability of the algorithm without any possibility of appeal</w:t>
      </w:r>
      <w:r w:rsidR="006E0C4A">
        <w:rPr>
          <w:rStyle w:val="FootnoteReference"/>
          <w:rFonts w:ascii="Times New Roman" w:hAnsi="Times New Roman" w:cs="Times New Roman"/>
          <w:sz w:val="24"/>
          <w:szCs w:val="24"/>
        </w:rPr>
        <w:footnoteReference w:id="60"/>
      </w:r>
      <w:r w:rsidRPr="006244E8">
        <w:rPr>
          <w:rFonts w:ascii="Times New Roman" w:hAnsi="Times New Roman" w:cs="Times New Roman"/>
          <w:sz w:val="24"/>
          <w:szCs w:val="24"/>
        </w:rPr>
        <w:t xml:space="preserve">. Gamification also boosts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at the expense of autonomy, and biased statistics or design promotes systemic discrimination</w:t>
      </w:r>
      <w:r w:rsidR="006E0C4A">
        <w:rPr>
          <w:rStyle w:val="FootnoteReference"/>
          <w:rFonts w:ascii="Times New Roman" w:hAnsi="Times New Roman" w:cs="Times New Roman"/>
          <w:sz w:val="24"/>
          <w:szCs w:val="24"/>
        </w:rPr>
        <w:footnoteReference w:id="61"/>
      </w:r>
      <w:r w:rsidRPr="006244E8">
        <w:rPr>
          <w:rFonts w:ascii="Times New Roman" w:hAnsi="Times New Roman" w:cs="Times New Roman"/>
          <w:sz w:val="24"/>
          <w:szCs w:val="24"/>
        </w:rPr>
        <w:t>.</w:t>
      </w:r>
    </w:p>
    <w:p w14:paraId="65C6E4AC" w14:textId="77777777" w:rsidR="000216B5"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b/>
          <w:bCs/>
          <w:sz w:val="26"/>
          <w:szCs w:val="26"/>
        </w:rPr>
        <w:t>2. Transparency and Accountability Requirements</w:t>
      </w:r>
    </w:p>
    <w:p w14:paraId="21A4C073" w14:textId="33A9F9B1" w:rsidR="000216B5" w:rsidRPr="000216B5"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sz w:val="24"/>
          <w:szCs w:val="24"/>
        </w:rPr>
        <w:t xml:space="preserve">Strong Transparency and Accountability Requirements are necessary to be put in place. In the case of the cloudiness of regulation, regulatory intervention is essential. Researchers </w:t>
      </w:r>
      <w:r w:rsidRPr="006244E8">
        <w:rPr>
          <w:rFonts w:ascii="Times New Roman" w:hAnsi="Times New Roman" w:cs="Times New Roman"/>
          <w:sz w:val="24"/>
          <w:szCs w:val="24"/>
        </w:rPr>
        <w:lastRenderedPageBreak/>
        <w:t xml:space="preserve">recommend that such transparency through algorithms must be an obligatory condition so that platforms must provide information on decision-making parameters, data, and rationale which are liable to external audit. Openness gives employees the strength to comprehend, challenge unfair consequences as well as permit regulatory </w:t>
      </w:r>
      <w:proofErr w:type="gramStart"/>
      <w:r w:rsidRPr="006244E8">
        <w:rPr>
          <w:rFonts w:ascii="Times New Roman" w:hAnsi="Times New Roman" w:cs="Times New Roman"/>
          <w:sz w:val="24"/>
          <w:szCs w:val="24"/>
        </w:rPr>
        <w:t>examination .</w:t>
      </w:r>
      <w:proofErr w:type="gramEnd"/>
      <w:r w:rsidRPr="006244E8">
        <w:rPr>
          <w:rFonts w:ascii="Times New Roman" w:hAnsi="Times New Roman" w:cs="Times New Roman"/>
          <w:sz w:val="24"/>
          <w:szCs w:val="24"/>
        </w:rPr>
        <w:t xml:space="preserve"> The possible accountability measures are: </w:t>
      </w:r>
    </w:p>
    <w:p w14:paraId="4877C701" w14:textId="06C638C4"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(1) </w:t>
      </w:r>
      <w:r w:rsidRPr="006244E8">
        <w:rPr>
          <w:rFonts w:ascii="Times New Roman" w:hAnsi="Times New Roman" w:cs="Times New Roman"/>
          <w:b/>
          <w:bCs/>
          <w:sz w:val="24"/>
          <w:szCs w:val="24"/>
        </w:rPr>
        <w:t>mandatory impact assessments:</w:t>
      </w:r>
      <w:r w:rsidRPr="006244E8">
        <w:rPr>
          <w:rFonts w:ascii="Times New Roman" w:hAnsi="Times New Roman" w:cs="Times New Roman"/>
          <w:sz w:val="24"/>
          <w:szCs w:val="24"/>
        </w:rPr>
        <w:t xml:space="preserve"> the platforms are required to do and disclose assessments of the effects of algorithms on income, safety, well-being and equality</w:t>
      </w:r>
      <w:r w:rsidR="006E0C4A">
        <w:rPr>
          <w:rStyle w:val="FootnoteReference"/>
          <w:rFonts w:ascii="Times New Roman" w:hAnsi="Times New Roman" w:cs="Times New Roman"/>
          <w:sz w:val="24"/>
          <w:szCs w:val="24"/>
        </w:rPr>
        <w:footnoteReference w:id="62"/>
      </w:r>
      <w:r w:rsidRPr="006244E8">
        <w:rPr>
          <w:rFonts w:ascii="Times New Roman" w:hAnsi="Times New Roman" w:cs="Times New Roman"/>
          <w:sz w:val="24"/>
          <w:szCs w:val="24"/>
        </w:rPr>
        <w:t xml:space="preserve">; </w:t>
      </w:r>
    </w:p>
    <w:p w14:paraId="361A594A" w14:textId="1F4483D4"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(2) </w:t>
      </w:r>
      <w:r w:rsidRPr="006244E8">
        <w:rPr>
          <w:rFonts w:ascii="Times New Roman" w:hAnsi="Times New Roman" w:cs="Times New Roman"/>
          <w:b/>
          <w:bCs/>
          <w:sz w:val="24"/>
          <w:szCs w:val="24"/>
        </w:rPr>
        <w:t>human review and appeal rights:</w:t>
      </w:r>
      <w:r w:rsidRPr="006244E8">
        <w:rPr>
          <w:rFonts w:ascii="Times New Roman" w:hAnsi="Times New Roman" w:cs="Times New Roman"/>
          <w:sz w:val="24"/>
          <w:szCs w:val="24"/>
        </w:rPr>
        <w:t xml:space="preserve"> workers must be able to get a human appeal over negative decisions, and where necessary, autonomous adjudications by tribunals or </w:t>
      </w:r>
      <w:proofErr w:type="gramStart"/>
      <w:r w:rsidRPr="006244E8">
        <w:rPr>
          <w:rFonts w:ascii="Times New Roman" w:hAnsi="Times New Roman" w:cs="Times New Roman"/>
          <w:sz w:val="24"/>
          <w:szCs w:val="24"/>
        </w:rPr>
        <w:t>ombudspersons;</w:t>
      </w:r>
      <w:proofErr w:type="gramEnd"/>
      <w:r w:rsidRPr="006244E8">
        <w:rPr>
          <w:rFonts w:ascii="Times New Roman" w:hAnsi="Times New Roman" w:cs="Times New Roman"/>
          <w:sz w:val="24"/>
          <w:szCs w:val="24"/>
        </w:rPr>
        <w:t xml:space="preserve"> </w:t>
      </w:r>
    </w:p>
    <w:p w14:paraId="2BE04340" w14:textId="21B57F72"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(3) </w:t>
      </w:r>
      <w:r w:rsidRPr="006244E8">
        <w:rPr>
          <w:rFonts w:ascii="Times New Roman" w:hAnsi="Times New Roman" w:cs="Times New Roman"/>
          <w:b/>
          <w:bCs/>
          <w:sz w:val="24"/>
          <w:szCs w:val="24"/>
        </w:rPr>
        <w:t>data rights and portability:</w:t>
      </w:r>
      <w:r w:rsidRPr="006244E8">
        <w:rPr>
          <w:rFonts w:ascii="Times New Roman" w:hAnsi="Times New Roman" w:cs="Times New Roman"/>
          <w:sz w:val="24"/>
          <w:szCs w:val="24"/>
        </w:rPr>
        <w:t xml:space="preserve"> workers should gain access to the data stores about them collected by the company, such as performance metrics, ratings, work history, and be able to transfer such information across </w:t>
      </w:r>
      <w:proofErr w:type="gramStart"/>
      <w:r w:rsidRPr="006244E8">
        <w:rPr>
          <w:rFonts w:ascii="Times New Roman" w:hAnsi="Times New Roman" w:cs="Times New Roman"/>
          <w:sz w:val="24"/>
          <w:szCs w:val="24"/>
        </w:rPr>
        <w:t>platforms;</w:t>
      </w:r>
      <w:proofErr w:type="gramEnd"/>
      <w:r w:rsidRPr="006244E8">
        <w:rPr>
          <w:rFonts w:ascii="Times New Roman" w:hAnsi="Times New Roman" w:cs="Times New Roman"/>
          <w:sz w:val="24"/>
          <w:szCs w:val="24"/>
        </w:rPr>
        <w:t xml:space="preserve"> </w:t>
      </w:r>
    </w:p>
    <w:p w14:paraId="475839BC" w14:textId="31CF1739"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(4) </w:t>
      </w:r>
      <w:r w:rsidRPr="006244E8">
        <w:rPr>
          <w:rFonts w:ascii="Times New Roman" w:hAnsi="Times New Roman" w:cs="Times New Roman"/>
          <w:b/>
          <w:bCs/>
          <w:sz w:val="24"/>
          <w:szCs w:val="24"/>
        </w:rPr>
        <w:t>sectoral monitoring systems:</w:t>
      </w:r>
      <w:r w:rsidRPr="006244E8">
        <w:rPr>
          <w:rFonts w:ascii="Times New Roman" w:hAnsi="Times New Roman" w:cs="Times New Roman"/>
          <w:sz w:val="24"/>
          <w:szCs w:val="24"/>
        </w:rPr>
        <w:t xml:space="preserve"> there are to be autonomous monitoring systems that audit algorithms, examine complaints and impose penalties on violations.</w:t>
      </w:r>
    </w:p>
    <w:p w14:paraId="1EABC986" w14:textId="77777777" w:rsidR="000216B5" w:rsidRPr="006244E8" w:rsidRDefault="000216B5" w:rsidP="000216B5">
      <w:pPr>
        <w:spacing w:before="240" w:line="271" w:lineRule="auto"/>
        <w:rPr>
          <w:rFonts w:ascii="Times New Roman" w:hAnsi="Times New Roman" w:cs="Times New Roman"/>
          <w:sz w:val="26"/>
          <w:szCs w:val="26"/>
        </w:rPr>
      </w:pPr>
      <w:bookmarkStart w:id="8" w:name="bm_3_comparative_regulatory_developments"/>
      <w:r w:rsidRPr="006244E8">
        <w:rPr>
          <w:rFonts w:ascii="Times New Roman" w:hAnsi="Times New Roman" w:cs="Times New Roman"/>
          <w:b/>
          <w:sz w:val="26"/>
          <w:szCs w:val="26"/>
        </w:rPr>
        <w:t>3. Comparative Regulatory Developments</w:t>
      </w:r>
      <w:bookmarkEnd w:id="8"/>
    </w:p>
    <w:p w14:paraId="36BFBD5D" w14:textId="05044704"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Management algorithm control has pedagogical lessons in different jurisdictions. The EU Platform Work Directive (2024) provides transparency and rights of human review and a rebuttable presumption of employment where the platforms are controlling</w:t>
      </w:r>
      <w:r w:rsidR="006E0C4A">
        <w:rPr>
          <w:rStyle w:val="FootnoteReference"/>
          <w:rFonts w:ascii="Times New Roman" w:hAnsi="Times New Roman" w:cs="Times New Roman"/>
          <w:sz w:val="24"/>
          <w:szCs w:val="24"/>
        </w:rPr>
        <w:footnoteReference w:id="63"/>
      </w:r>
      <w:r w:rsidRPr="006244E8">
        <w:rPr>
          <w:rFonts w:ascii="Times New Roman" w:hAnsi="Times New Roman" w:cs="Times New Roman"/>
          <w:sz w:val="24"/>
          <w:szCs w:val="24"/>
        </w:rPr>
        <w:t>. The ABC test was codified through AB5 in California which put a burden on the platform to prove contractor status</w:t>
      </w:r>
      <w:r w:rsidR="006E0C4A">
        <w:rPr>
          <w:rStyle w:val="FootnoteReference"/>
          <w:rFonts w:ascii="Times New Roman" w:hAnsi="Times New Roman" w:cs="Times New Roman"/>
          <w:sz w:val="24"/>
          <w:szCs w:val="24"/>
        </w:rPr>
        <w:footnoteReference w:id="64"/>
      </w:r>
      <w:r w:rsidRPr="006244E8">
        <w:rPr>
          <w:rFonts w:ascii="Times New Roman" w:hAnsi="Times New Roman" w:cs="Times New Roman"/>
          <w:sz w:val="24"/>
          <w:szCs w:val="24"/>
        </w:rPr>
        <w:t>. In the UK BV v Aslam case, the drivers in Uber were established to be workers who deserved minimum salary and protection</w:t>
      </w:r>
      <w:r w:rsidR="006E0C4A">
        <w:rPr>
          <w:rStyle w:val="FootnoteReference"/>
          <w:rFonts w:ascii="Times New Roman" w:hAnsi="Times New Roman" w:cs="Times New Roman"/>
          <w:sz w:val="24"/>
          <w:szCs w:val="24"/>
        </w:rPr>
        <w:footnoteReference w:id="65"/>
      </w:r>
      <w:r w:rsidRPr="006244E8">
        <w:rPr>
          <w:rFonts w:ascii="Times New Roman" w:hAnsi="Times New Roman" w:cs="Times New Roman"/>
          <w:sz w:val="24"/>
          <w:szCs w:val="24"/>
        </w:rPr>
        <w:t>. These changes highlight a global agreement that platform work requires regulation. India would have to incorporate such models into its constitution, incorporating recent judicial tendencies, such as the 2025 decision of the Delhi High Court, which requires the use of algorithms to audit gigs in disputes</w:t>
      </w:r>
      <w:r w:rsidR="006E0C4A">
        <w:rPr>
          <w:rStyle w:val="FootnoteReference"/>
          <w:rFonts w:ascii="Times New Roman" w:hAnsi="Times New Roman" w:cs="Times New Roman"/>
          <w:sz w:val="24"/>
          <w:szCs w:val="24"/>
        </w:rPr>
        <w:footnoteReference w:id="66"/>
      </w:r>
      <w:r w:rsidRPr="006244E8">
        <w:rPr>
          <w:rFonts w:ascii="Times New Roman" w:hAnsi="Times New Roman" w:cs="Times New Roman"/>
          <w:sz w:val="24"/>
          <w:szCs w:val="24"/>
        </w:rPr>
        <w:t>.</w:t>
      </w:r>
    </w:p>
    <w:p w14:paraId="455469CD" w14:textId="77777777" w:rsidR="000216B5" w:rsidRPr="006244E8" w:rsidRDefault="000216B5" w:rsidP="000216B5">
      <w:pPr>
        <w:spacing w:line="360" w:lineRule="auto"/>
        <w:jc w:val="both"/>
        <w:rPr>
          <w:rFonts w:ascii="Times New Roman" w:hAnsi="Times New Roman" w:cs="Times New Roman"/>
          <w:sz w:val="24"/>
          <w:szCs w:val="24"/>
        </w:rPr>
      </w:pPr>
    </w:p>
    <w:p w14:paraId="74D06236" w14:textId="77777777" w:rsidR="000216B5" w:rsidRPr="006244E8" w:rsidRDefault="000216B5" w:rsidP="000216B5">
      <w:pPr>
        <w:spacing w:before="240" w:line="271" w:lineRule="auto"/>
        <w:rPr>
          <w:rFonts w:ascii="Times New Roman" w:hAnsi="Times New Roman" w:cs="Times New Roman"/>
          <w:sz w:val="15"/>
          <w:szCs w:val="16"/>
        </w:rPr>
      </w:pPr>
      <w:bookmarkStart w:id="9" w:name="viii_reform_proposals_and_policy_d10e10"/>
      <w:r w:rsidRPr="006244E8">
        <w:rPr>
          <w:rFonts w:ascii="Times New Roman" w:hAnsi="Times New Roman" w:cs="Times New Roman"/>
          <w:b/>
          <w:sz w:val="28"/>
          <w:szCs w:val="16"/>
        </w:rPr>
        <w:t>VIII. Reform Proposals and Policy Recommendations</w:t>
      </w:r>
      <w:bookmarkEnd w:id="9"/>
    </w:p>
    <w:p w14:paraId="7954B21E" w14:textId="77777777" w:rsidR="000216B5" w:rsidRPr="006244E8" w:rsidRDefault="000216B5" w:rsidP="000216B5">
      <w:pPr>
        <w:spacing w:before="240" w:line="271" w:lineRule="auto"/>
        <w:rPr>
          <w:rFonts w:ascii="Times New Roman" w:hAnsi="Times New Roman" w:cs="Times New Roman"/>
          <w:sz w:val="26"/>
          <w:szCs w:val="26"/>
        </w:rPr>
      </w:pPr>
      <w:bookmarkStart w:id="10" w:name="a_hybrid_worker_status_models"/>
      <w:r w:rsidRPr="006244E8">
        <w:rPr>
          <w:rFonts w:ascii="Times New Roman" w:hAnsi="Times New Roman" w:cs="Times New Roman"/>
          <w:b/>
          <w:sz w:val="26"/>
          <w:szCs w:val="26"/>
        </w:rPr>
        <w:lastRenderedPageBreak/>
        <w:t>A. Hybrid Worker Status Models</w:t>
      </w:r>
      <w:bookmarkEnd w:id="10"/>
    </w:p>
    <w:p w14:paraId="41421685" w14:textId="34B8DA9F"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The disputed point is whether platform workers need to be re-defined as employees, as hybrid forms, or stay as contractors with their better protection</w:t>
      </w:r>
      <w:r w:rsidR="006E0C4A">
        <w:rPr>
          <w:rStyle w:val="FootnoteReference"/>
          <w:rFonts w:ascii="Times New Roman" w:hAnsi="Times New Roman" w:cs="Times New Roman"/>
          <w:sz w:val="24"/>
          <w:szCs w:val="24"/>
        </w:rPr>
        <w:footnoteReference w:id="67"/>
      </w:r>
      <w:r w:rsidRPr="006244E8">
        <w:rPr>
          <w:rFonts w:ascii="Times New Roman" w:hAnsi="Times New Roman" w:cs="Times New Roman"/>
          <w:sz w:val="24"/>
          <w:szCs w:val="24"/>
        </w:rPr>
        <w:t xml:space="preserve">. Complete reclassification provides full protection, but opponents believe it provides a loss of flexibility and creativity. A hybrid status can give different types of protections that offer core protections such as minimum income, social security, collective rights, and maintain flexibility. This strategy correlates with CSS 2020 framework of understanding gig and platform workers. The hybrid model must include:  </w:t>
      </w:r>
    </w:p>
    <w:p w14:paraId="1F66BC44" w14:textId="534758DF"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statutory minimum income grounded on hours of work, with waiting time, modified to regional prices</w:t>
      </w:r>
      <w:r w:rsidR="006E0C4A">
        <w:rPr>
          <w:rStyle w:val="FootnoteReference"/>
          <w:rFonts w:ascii="Times New Roman" w:hAnsi="Times New Roman" w:cs="Times New Roman"/>
          <w:sz w:val="24"/>
          <w:szCs w:val="24"/>
        </w:rPr>
        <w:footnoteReference w:id="68"/>
      </w:r>
      <w:r w:rsidRPr="006244E8">
        <w:rPr>
          <w:rFonts w:ascii="Times New Roman" w:hAnsi="Times New Roman" w:cs="Times New Roman"/>
          <w:sz w:val="24"/>
          <w:szCs w:val="24"/>
        </w:rPr>
        <w:t xml:space="preserve">;  </w:t>
      </w:r>
    </w:p>
    <w:p w14:paraId="43514F46" w14:textId="2269B564"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portable</w:t>
      </w:r>
      <w:r>
        <w:rPr>
          <w:rFonts w:ascii="Times New Roman" w:hAnsi="Times New Roman" w:cs="Times New Roman"/>
          <w:sz w:val="24"/>
          <w:szCs w:val="24"/>
        </w:rPr>
        <w:t xml:space="preserve"> </w:t>
      </w:r>
      <w:r w:rsidRPr="006244E8">
        <w:rPr>
          <w:rFonts w:ascii="Times New Roman" w:hAnsi="Times New Roman" w:cs="Times New Roman"/>
          <w:sz w:val="24"/>
          <w:szCs w:val="24"/>
        </w:rPr>
        <w:t>social security benefits that allow accrued benefits across platforms</w:t>
      </w:r>
      <w:r w:rsidR="006E0C4A">
        <w:rPr>
          <w:rStyle w:val="FootnoteReference"/>
          <w:rFonts w:ascii="Times New Roman" w:hAnsi="Times New Roman" w:cs="Times New Roman"/>
          <w:sz w:val="24"/>
          <w:szCs w:val="24"/>
        </w:rPr>
        <w:footnoteReference w:id="69"/>
      </w:r>
      <w:r w:rsidRPr="006244E8">
        <w:rPr>
          <w:rFonts w:ascii="Times New Roman" w:hAnsi="Times New Roman" w:cs="Times New Roman"/>
          <w:sz w:val="24"/>
          <w:szCs w:val="24"/>
        </w:rPr>
        <w:t xml:space="preserve">;  </w:t>
      </w:r>
    </w:p>
    <w:p w14:paraId="215B10B7" w14:textId="072EB6B6"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 right to collective representation that allows </w:t>
      </w:r>
      <w:proofErr w:type="spellStart"/>
      <w:r w:rsidRPr="006244E8">
        <w:rPr>
          <w:rFonts w:ascii="Times New Roman" w:hAnsi="Times New Roman" w:cs="Times New Roman"/>
          <w:sz w:val="24"/>
          <w:szCs w:val="24"/>
        </w:rPr>
        <w:t>organisation</w:t>
      </w:r>
      <w:proofErr w:type="spellEnd"/>
      <w:r w:rsidRPr="006244E8">
        <w:rPr>
          <w:rFonts w:ascii="Times New Roman" w:hAnsi="Times New Roman" w:cs="Times New Roman"/>
          <w:sz w:val="24"/>
          <w:szCs w:val="24"/>
        </w:rPr>
        <w:t>, sector negotiation and platform governance</w:t>
      </w:r>
      <w:r w:rsidR="006E0C4A">
        <w:rPr>
          <w:rStyle w:val="FootnoteReference"/>
          <w:rFonts w:ascii="Times New Roman" w:hAnsi="Times New Roman" w:cs="Times New Roman"/>
          <w:sz w:val="24"/>
          <w:szCs w:val="24"/>
        </w:rPr>
        <w:footnoteReference w:id="70"/>
      </w:r>
      <w:r w:rsidRPr="006244E8">
        <w:rPr>
          <w:rFonts w:ascii="Times New Roman" w:hAnsi="Times New Roman" w:cs="Times New Roman"/>
          <w:sz w:val="24"/>
          <w:szCs w:val="24"/>
        </w:rPr>
        <w:t xml:space="preserve">;  </w:t>
      </w:r>
    </w:p>
    <w:p w14:paraId="4B0720A5" w14:textId="1170BB0E"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transparency and accountability Algorithms must be disclosed and appeal mechanisms, as well as disclosed.</w:t>
      </w:r>
    </w:p>
    <w:p w14:paraId="19F1CDC4" w14:textId="502B71B8" w:rsidR="000216B5" w:rsidRPr="000216B5"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b/>
          <w:bCs/>
          <w:sz w:val="26"/>
          <w:szCs w:val="26"/>
        </w:rPr>
        <w:t>B. Sectoral Welfare Funds and Portable Benefit</w:t>
      </w:r>
      <w:r w:rsidR="00645CB3">
        <w:rPr>
          <w:rFonts w:ascii="Times New Roman" w:hAnsi="Times New Roman" w:cs="Times New Roman"/>
          <w:b/>
          <w:bCs/>
          <w:sz w:val="26"/>
          <w:szCs w:val="26"/>
        </w:rPr>
        <w:t>s</w:t>
      </w:r>
    </w:p>
    <w:p w14:paraId="6C6F9CE9" w14:textId="5D6BD988"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Sectoral welfare funds following platform contribution are a viable extension of social security</w:t>
      </w:r>
      <w:r w:rsidR="006E0C4A">
        <w:rPr>
          <w:rStyle w:val="FootnoteReference"/>
          <w:rFonts w:ascii="Times New Roman" w:hAnsi="Times New Roman" w:cs="Times New Roman"/>
          <w:sz w:val="24"/>
          <w:szCs w:val="24"/>
        </w:rPr>
        <w:footnoteReference w:id="71"/>
      </w:r>
      <w:r w:rsidRPr="006244E8">
        <w:rPr>
          <w:rFonts w:ascii="Times New Roman" w:hAnsi="Times New Roman" w:cs="Times New Roman"/>
          <w:sz w:val="24"/>
          <w:szCs w:val="24"/>
        </w:rPr>
        <w:t xml:space="preserve">. These funds have the ability of combining funds in sectors to avail health, accident, pension, maternity benefits, and training. Portability is useful to make benefits available regardless of any change of platform. Examples are the self-employed social security system of Belgium and the personal activity account of France. The emergent e-Sham program of India is still not fully implemented. Intensification of measures implies:  </w:t>
      </w:r>
    </w:p>
    <w:p w14:paraId="10E38624" w14:textId="2E8C99A0"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 obligatory contributions to platforms as a proportion of transaction value or returns, and these requirements are openly </w:t>
      </w:r>
      <w:proofErr w:type="gramStart"/>
      <w:r w:rsidRPr="006244E8">
        <w:rPr>
          <w:rFonts w:ascii="Times New Roman" w:hAnsi="Times New Roman" w:cs="Times New Roman"/>
          <w:sz w:val="24"/>
          <w:szCs w:val="24"/>
        </w:rPr>
        <w:t>enforced;</w:t>
      </w:r>
      <w:proofErr w:type="gramEnd"/>
      <w:r w:rsidRPr="006244E8">
        <w:rPr>
          <w:rFonts w:ascii="Times New Roman" w:hAnsi="Times New Roman" w:cs="Times New Roman"/>
          <w:sz w:val="24"/>
          <w:szCs w:val="24"/>
        </w:rPr>
        <w:t xml:space="preserve">  </w:t>
      </w:r>
    </w:p>
    <w:p w14:paraId="039DD159" w14:textId="2754D24F"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Universal registration It will mean that all platform workers </w:t>
      </w:r>
      <w:proofErr w:type="spellStart"/>
      <w:r w:rsidRPr="006244E8">
        <w:rPr>
          <w:rFonts w:ascii="Times New Roman" w:hAnsi="Times New Roman" w:cs="Times New Roman"/>
          <w:sz w:val="24"/>
          <w:szCs w:val="24"/>
        </w:rPr>
        <w:t>enrol</w:t>
      </w:r>
      <w:proofErr w:type="spellEnd"/>
      <w:r w:rsidRPr="006244E8">
        <w:rPr>
          <w:rFonts w:ascii="Times New Roman" w:hAnsi="Times New Roman" w:cs="Times New Roman"/>
          <w:sz w:val="24"/>
          <w:szCs w:val="24"/>
        </w:rPr>
        <w:t xml:space="preserve"> and receive </w:t>
      </w:r>
      <w:proofErr w:type="gramStart"/>
      <w:r w:rsidRPr="006244E8">
        <w:rPr>
          <w:rFonts w:ascii="Times New Roman" w:hAnsi="Times New Roman" w:cs="Times New Roman"/>
          <w:sz w:val="24"/>
          <w:szCs w:val="24"/>
        </w:rPr>
        <w:t>benefits;</w:t>
      </w:r>
      <w:proofErr w:type="gramEnd"/>
      <w:r w:rsidRPr="006244E8">
        <w:rPr>
          <w:rFonts w:ascii="Times New Roman" w:hAnsi="Times New Roman" w:cs="Times New Roman"/>
          <w:sz w:val="24"/>
          <w:szCs w:val="24"/>
        </w:rPr>
        <w:t xml:space="preserve">  </w:t>
      </w:r>
    </w:p>
    <w:p w14:paraId="5874F4A2" w14:textId="641193F5"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 inclusive design to realign the needs and obstacles of women gig </w:t>
      </w:r>
      <w:proofErr w:type="gramStart"/>
      <w:r w:rsidRPr="006244E8">
        <w:rPr>
          <w:rFonts w:ascii="Times New Roman" w:hAnsi="Times New Roman" w:cs="Times New Roman"/>
          <w:sz w:val="24"/>
          <w:szCs w:val="24"/>
        </w:rPr>
        <w:t>workers;</w:t>
      </w:r>
      <w:proofErr w:type="gramEnd"/>
      <w:r w:rsidRPr="006244E8">
        <w:rPr>
          <w:rFonts w:ascii="Times New Roman" w:hAnsi="Times New Roman" w:cs="Times New Roman"/>
          <w:sz w:val="24"/>
          <w:szCs w:val="24"/>
        </w:rPr>
        <w:t xml:space="preserve">  </w:t>
      </w:r>
    </w:p>
    <w:p w14:paraId="19D9D8A0" w14:textId="7EC0467B"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lastRenderedPageBreak/>
        <w:t>The central-state coordination to synchronize schemes and eliminate gaps.</w:t>
      </w:r>
    </w:p>
    <w:p w14:paraId="55582992" w14:textId="77777777" w:rsidR="000216B5" w:rsidRPr="006244E8" w:rsidRDefault="000216B5" w:rsidP="000216B5">
      <w:pPr>
        <w:spacing w:line="360" w:lineRule="auto"/>
        <w:jc w:val="both"/>
        <w:rPr>
          <w:rFonts w:ascii="Times New Roman" w:hAnsi="Times New Roman" w:cs="Times New Roman"/>
          <w:sz w:val="24"/>
          <w:szCs w:val="24"/>
        </w:rPr>
      </w:pPr>
    </w:p>
    <w:p w14:paraId="323FAFC4" w14:textId="2DB67FE7" w:rsidR="000216B5" w:rsidRPr="006244E8" w:rsidRDefault="000216B5" w:rsidP="000216B5">
      <w:pPr>
        <w:spacing w:line="360" w:lineRule="auto"/>
        <w:jc w:val="both"/>
        <w:rPr>
          <w:rFonts w:ascii="Times New Roman" w:hAnsi="Times New Roman" w:cs="Times New Roman"/>
          <w:b/>
          <w:bCs/>
          <w:sz w:val="26"/>
          <w:szCs w:val="26"/>
        </w:rPr>
      </w:pPr>
      <w:r w:rsidRPr="006244E8">
        <w:rPr>
          <w:rFonts w:ascii="Times New Roman" w:hAnsi="Times New Roman" w:cs="Times New Roman"/>
          <w:b/>
          <w:bCs/>
          <w:sz w:val="26"/>
          <w:szCs w:val="26"/>
        </w:rPr>
        <w:t>C. Institutional Dispute Resolution and Bargaining</w:t>
      </w:r>
    </w:p>
    <w:p w14:paraId="5046B0FE" w14:textId="165F65E5"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lack of effective mechanisms is a basic gap. To deal with this, platform-specific institutions are needed:  </w:t>
      </w:r>
    </w:p>
    <w:p w14:paraId="4300E25B" w14:textId="7591092A"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b/>
          <w:bCs/>
          <w:sz w:val="24"/>
          <w:szCs w:val="24"/>
        </w:rPr>
        <w:t>Sectoral Bargaining Councils:</w:t>
      </w:r>
      <w:r w:rsidRPr="006244E8">
        <w:rPr>
          <w:rFonts w:ascii="Times New Roman" w:hAnsi="Times New Roman" w:cs="Times New Roman"/>
          <w:sz w:val="24"/>
          <w:szCs w:val="24"/>
        </w:rPr>
        <w:t xml:space="preserve"> Following South African and European precedents, sectoral bargaining councils might bring together the platforms, worker </w:t>
      </w:r>
      <w:proofErr w:type="spellStart"/>
      <w:r w:rsidRPr="006244E8">
        <w:rPr>
          <w:rFonts w:ascii="Times New Roman" w:hAnsi="Times New Roman" w:cs="Times New Roman"/>
          <w:sz w:val="24"/>
          <w:szCs w:val="24"/>
        </w:rPr>
        <w:t>organisations</w:t>
      </w:r>
      <w:proofErr w:type="spellEnd"/>
      <w:r w:rsidRPr="006244E8">
        <w:rPr>
          <w:rFonts w:ascii="Times New Roman" w:hAnsi="Times New Roman" w:cs="Times New Roman"/>
          <w:sz w:val="24"/>
          <w:szCs w:val="24"/>
        </w:rPr>
        <w:t xml:space="preserve"> and government and negotiate the terms, minimum wages, safety and contributions. All platforms would be bound by sectoral agreements, which would make the playing field equal.  </w:t>
      </w:r>
    </w:p>
    <w:p w14:paraId="13F88DFC" w14:textId="3B2E4DCB"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b/>
          <w:bCs/>
          <w:sz w:val="24"/>
          <w:szCs w:val="24"/>
        </w:rPr>
        <w:t>Worker Councils and Participation Rights:</w:t>
      </w:r>
      <w:r w:rsidRPr="006244E8">
        <w:rPr>
          <w:rFonts w:ascii="Times New Roman" w:hAnsi="Times New Roman" w:cs="Times New Roman"/>
          <w:sz w:val="24"/>
          <w:szCs w:val="24"/>
        </w:rPr>
        <w:t xml:space="preserve"> Platforms might introduce worker councils (elected) that have a consultative right over any change in algorithm, terms, and conditions.  </w:t>
      </w:r>
    </w:p>
    <w:p w14:paraId="5C499C78" w14:textId="0744AC43"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b/>
          <w:bCs/>
          <w:sz w:val="24"/>
          <w:szCs w:val="24"/>
        </w:rPr>
        <w:t xml:space="preserve">Independent Ombudsperson and Tribunal: </w:t>
      </w:r>
      <w:r w:rsidRPr="006244E8">
        <w:rPr>
          <w:rFonts w:ascii="Times New Roman" w:hAnsi="Times New Roman" w:cs="Times New Roman"/>
          <w:sz w:val="24"/>
          <w:szCs w:val="24"/>
        </w:rPr>
        <w:t>A different agency may review the conflicts related to algorithmic deactivation, ratings, and transparency infractions, and offer a streamlined and convenient adjudication process.</w:t>
      </w:r>
    </w:p>
    <w:p w14:paraId="0F0495F7" w14:textId="77777777" w:rsidR="000216B5" w:rsidRPr="006244E8" w:rsidRDefault="000216B5" w:rsidP="000216B5">
      <w:pPr>
        <w:rPr>
          <w:rFonts w:ascii="Times New Roman" w:hAnsi="Times New Roman" w:cs="Times New Roman"/>
          <w:b/>
          <w:bCs/>
          <w:sz w:val="26"/>
          <w:szCs w:val="26"/>
        </w:rPr>
      </w:pPr>
      <w:r w:rsidRPr="006244E8">
        <w:rPr>
          <w:rFonts w:ascii="Times New Roman" w:hAnsi="Times New Roman" w:cs="Times New Roman"/>
          <w:b/>
          <w:bCs/>
          <w:sz w:val="26"/>
          <w:szCs w:val="26"/>
        </w:rPr>
        <w:t xml:space="preserve">D. SDG Alignment and Decent Work  </w:t>
      </w:r>
    </w:p>
    <w:p w14:paraId="3DF9ED90" w14:textId="2811C2C6"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Control of platform economy should </w:t>
      </w:r>
      <w:proofErr w:type="gramStart"/>
      <w:r w:rsidRPr="006244E8">
        <w:rPr>
          <w:rFonts w:ascii="Times New Roman" w:hAnsi="Times New Roman" w:cs="Times New Roman"/>
          <w:sz w:val="24"/>
          <w:szCs w:val="24"/>
        </w:rPr>
        <w:t>be in agreement</w:t>
      </w:r>
      <w:proofErr w:type="gramEnd"/>
      <w:r w:rsidRPr="006244E8">
        <w:rPr>
          <w:rFonts w:ascii="Times New Roman" w:hAnsi="Times New Roman" w:cs="Times New Roman"/>
          <w:sz w:val="24"/>
          <w:szCs w:val="24"/>
        </w:rPr>
        <w:t xml:space="preserve"> with SDG 8 (Decent Work and Economic Growth) and SDG 10 (Reduced Inequalities)</w:t>
      </w:r>
      <w:r w:rsidR="006E0C4A">
        <w:rPr>
          <w:rStyle w:val="FootnoteReference"/>
          <w:rFonts w:ascii="Times New Roman" w:hAnsi="Times New Roman" w:cs="Times New Roman"/>
          <w:sz w:val="24"/>
          <w:szCs w:val="24"/>
        </w:rPr>
        <w:footnoteReference w:id="72"/>
      </w:r>
      <w:r w:rsidRPr="006244E8">
        <w:rPr>
          <w:rFonts w:ascii="Times New Roman" w:hAnsi="Times New Roman" w:cs="Times New Roman"/>
          <w:sz w:val="24"/>
          <w:szCs w:val="24"/>
        </w:rPr>
        <w:t xml:space="preserve">. SDG 8 requires inclusive and sustained growth, productive and decent working as well as focusing on the protection of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rights and safe environments</w:t>
      </w:r>
      <w:r w:rsidR="006E0C4A">
        <w:rPr>
          <w:rStyle w:val="FootnoteReference"/>
          <w:rFonts w:ascii="Times New Roman" w:hAnsi="Times New Roman" w:cs="Times New Roman"/>
          <w:sz w:val="24"/>
          <w:szCs w:val="24"/>
        </w:rPr>
        <w:footnoteReference w:id="73"/>
      </w:r>
      <w:r w:rsidRPr="006244E8">
        <w:rPr>
          <w:rFonts w:ascii="Times New Roman" w:hAnsi="Times New Roman" w:cs="Times New Roman"/>
          <w:sz w:val="24"/>
          <w:szCs w:val="24"/>
        </w:rPr>
        <w:t>. SDG 10 aims at minimizing inequalities, and it demands inclusive policies</w:t>
      </w:r>
      <w:r w:rsidR="006E0C4A">
        <w:rPr>
          <w:rStyle w:val="FootnoteReference"/>
          <w:rFonts w:ascii="Times New Roman" w:hAnsi="Times New Roman" w:cs="Times New Roman"/>
          <w:sz w:val="24"/>
          <w:szCs w:val="24"/>
        </w:rPr>
        <w:footnoteReference w:id="74"/>
      </w:r>
      <w:r w:rsidRPr="006244E8">
        <w:rPr>
          <w:rFonts w:ascii="Times New Roman" w:hAnsi="Times New Roman" w:cs="Times New Roman"/>
          <w:sz w:val="24"/>
          <w:szCs w:val="24"/>
        </w:rPr>
        <w:t>. The existing systems are inadequate. The lack of classification clarity, unequal access to benefits, and shared rights, as well as the absence of collective rights and algorithmic accountability, promote precarity and inequality, worsening the development of decent work. There is a need to achieve a total transformation to meet constitutional and international commitments and to make sure that the digital economy is contributing to inclusive growth.</w:t>
      </w:r>
    </w:p>
    <w:p w14:paraId="381B7612" w14:textId="77777777" w:rsidR="000216B5" w:rsidRPr="006244E8" w:rsidRDefault="000216B5" w:rsidP="000216B5">
      <w:pPr>
        <w:spacing w:line="360" w:lineRule="auto"/>
        <w:jc w:val="both"/>
        <w:rPr>
          <w:rFonts w:ascii="Times New Roman" w:hAnsi="Times New Roman" w:cs="Times New Roman"/>
          <w:sz w:val="24"/>
          <w:szCs w:val="24"/>
        </w:rPr>
      </w:pPr>
    </w:p>
    <w:p w14:paraId="189C266D" w14:textId="5E10176C" w:rsidR="000216B5" w:rsidRPr="000216B5" w:rsidRDefault="000216B5" w:rsidP="000216B5">
      <w:pPr>
        <w:spacing w:line="360" w:lineRule="auto"/>
        <w:jc w:val="both"/>
        <w:rPr>
          <w:rFonts w:ascii="Times New Roman" w:hAnsi="Times New Roman" w:cs="Times New Roman"/>
          <w:b/>
          <w:bCs/>
          <w:sz w:val="28"/>
          <w:szCs w:val="28"/>
        </w:rPr>
      </w:pPr>
      <w:r w:rsidRPr="006244E8">
        <w:rPr>
          <w:rFonts w:ascii="Times New Roman" w:hAnsi="Times New Roman" w:cs="Times New Roman"/>
          <w:b/>
          <w:bCs/>
          <w:sz w:val="28"/>
          <w:szCs w:val="28"/>
        </w:rPr>
        <w:t>IX. Conclusion</w:t>
      </w:r>
    </w:p>
    <w:p w14:paraId="397AE922" w14:textId="77777777"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growing gig economy in India has its opportunities as well as challenges. Platform work has caused work and freedom; but has also solidified precarity, weakened rights, and reduced </w:t>
      </w:r>
      <w:r w:rsidRPr="006244E8">
        <w:rPr>
          <w:rFonts w:ascii="Times New Roman" w:hAnsi="Times New Roman" w:cs="Times New Roman"/>
          <w:sz w:val="24"/>
          <w:szCs w:val="24"/>
        </w:rPr>
        <w:lastRenderedPageBreak/>
        <w:t xml:space="preserve">dignity subjecting workers to algorithmic labor, loss of income, and lack of social security. The 2020 </w:t>
      </w:r>
      <w:proofErr w:type="spellStart"/>
      <w:r w:rsidRPr="006244E8">
        <w:rPr>
          <w:rFonts w:ascii="Times New Roman" w:hAnsi="Times New Roman" w:cs="Times New Roman"/>
          <w:sz w:val="24"/>
          <w:szCs w:val="24"/>
        </w:rPr>
        <w:t>Labour</w:t>
      </w:r>
      <w:proofErr w:type="spellEnd"/>
      <w:r w:rsidRPr="006244E8">
        <w:rPr>
          <w:rFonts w:ascii="Times New Roman" w:hAnsi="Times New Roman" w:cs="Times New Roman"/>
          <w:sz w:val="24"/>
          <w:szCs w:val="24"/>
        </w:rPr>
        <w:t xml:space="preserve"> Codes acknowledge that gig workers need protection, yet they fall short of what is relevant. The vagueness of definitions, selective rights, lax enforcement, and non-eligibility to collective bargaining reinstate inequalities that the Codes are expected to solve. A rights-based approach should be based on regulation on constitutional dignity and livelihood entitlements in Article 21, in ILO decent work principles and in SDG promises. This requires:  </w:t>
      </w:r>
    </w:p>
    <w:p w14:paraId="3B4E8668" w14:textId="77777777"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 defining worker status by amending legislation or by judicial decision-making in terms of functional tests of </w:t>
      </w:r>
      <w:proofErr w:type="gramStart"/>
      <w:r w:rsidRPr="006244E8">
        <w:rPr>
          <w:rFonts w:ascii="Times New Roman" w:hAnsi="Times New Roman" w:cs="Times New Roman"/>
          <w:sz w:val="24"/>
          <w:szCs w:val="24"/>
        </w:rPr>
        <w:t>employment;</w:t>
      </w:r>
      <w:proofErr w:type="gramEnd"/>
      <w:r w:rsidRPr="006244E8">
        <w:rPr>
          <w:rFonts w:ascii="Times New Roman" w:hAnsi="Times New Roman" w:cs="Times New Roman"/>
          <w:sz w:val="24"/>
          <w:szCs w:val="24"/>
        </w:rPr>
        <w:t xml:space="preserve">  </w:t>
      </w:r>
    </w:p>
    <w:p w14:paraId="4E872171" w14:textId="77777777"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 universal coverage of social security benefits such as portable health, pensions, accident coverage, maternity benefits and paid waiting time, paid by compulsory contributions to the platform and by making it a universal </w:t>
      </w:r>
      <w:proofErr w:type="gramStart"/>
      <w:r w:rsidRPr="006244E8">
        <w:rPr>
          <w:rFonts w:ascii="Times New Roman" w:hAnsi="Times New Roman" w:cs="Times New Roman"/>
          <w:sz w:val="24"/>
          <w:szCs w:val="24"/>
        </w:rPr>
        <w:t>coverage;</w:t>
      </w:r>
      <w:proofErr w:type="gramEnd"/>
      <w:r w:rsidRPr="006244E8">
        <w:rPr>
          <w:rFonts w:ascii="Times New Roman" w:hAnsi="Times New Roman" w:cs="Times New Roman"/>
          <w:sz w:val="24"/>
          <w:szCs w:val="24"/>
        </w:rPr>
        <w:t xml:space="preserve">  </w:t>
      </w:r>
    </w:p>
    <w:p w14:paraId="311AC7D7" w14:textId="77777777"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 securing collective rights through revising the IPC 2020 to confer further recognition to gig unions, introducing sectoral bargaining and developing the structure of worker </w:t>
      </w:r>
      <w:proofErr w:type="gramStart"/>
      <w:r w:rsidRPr="006244E8">
        <w:rPr>
          <w:rFonts w:ascii="Times New Roman" w:hAnsi="Times New Roman" w:cs="Times New Roman"/>
          <w:sz w:val="24"/>
          <w:szCs w:val="24"/>
        </w:rPr>
        <w:t>participation;</w:t>
      </w:r>
      <w:proofErr w:type="gramEnd"/>
      <w:r w:rsidRPr="006244E8">
        <w:rPr>
          <w:rFonts w:ascii="Times New Roman" w:hAnsi="Times New Roman" w:cs="Times New Roman"/>
          <w:sz w:val="24"/>
          <w:szCs w:val="24"/>
        </w:rPr>
        <w:t xml:space="preserve">  </w:t>
      </w:r>
    </w:p>
    <w:p w14:paraId="6B714A23" w14:textId="77777777"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requirements of transparency and accountability of algorithms, information maintenance, impact evaluation, human oversight, appeal, and access to data.</w:t>
      </w:r>
    </w:p>
    <w:p w14:paraId="7436020B" w14:textId="77777777" w:rsidR="000216B5" w:rsidRPr="006244E8"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To protect the vulnerable part of the labor market it is necessary that we create free statutory agencies, sectoral welfare boards, ombudspersons and specialized tribunals of the necessary authority to control adherence, hear complaints and make adjudications. These independent agencies should not be subject to executive interference, therefore, providing an objective control and the implementation of employee rights in the digital economy.</w:t>
      </w:r>
    </w:p>
    <w:p w14:paraId="37A75961" w14:textId="77777777" w:rsidR="000216B5" w:rsidRDefault="000216B5" w:rsidP="000216B5">
      <w:pPr>
        <w:spacing w:line="360" w:lineRule="auto"/>
        <w:jc w:val="both"/>
        <w:rPr>
          <w:rFonts w:ascii="Times New Roman" w:hAnsi="Times New Roman" w:cs="Times New Roman"/>
          <w:sz w:val="24"/>
          <w:szCs w:val="24"/>
        </w:rPr>
      </w:pPr>
      <w:r w:rsidRPr="006244E8">
        <w:rPr>
          <w:rFonts w:ascii="Times New Roman" w:hAnsi="Times New Roman" w:cs="Times New Roman"/>
          <w:sz w:val="24"/>
          <w:szCs w:val="24"/>
        </w:rPr>
        <w:t xml:space="preserve">The absence of such full reforms will be a continuation of hidden structural inequalities, </w:t>
      </w:r>
      <w:proofErr w:type="spellStart"/>
      <w:r w:rsidRPr="006244E8">
        <w:rPr>
          <w:rFonts w:ascii="Times New Roman" w:hAnsi="Times New Roman" w:cs="Times New Roman"/>
          <w:sz w:val="24"/>
          <w:szCs w:val="24"/>
        </w:rPr>
        <w:t>structuralization</w:t>
      </w:r>
      <w:proofErr w:type="spellEnd"/>
      <w:r w:rsidRPr="006244E8">
        <w:rPr>
          <w:rFonts w:ascii="Times New Roman" w:hAnsi="Times New Roman" w:cs="Times New Roman"/>
          <w:sz w:val="24"/>
          <w:szCs w:val="24"/>
        </w:rPr>
        <w:t xml:space="preserve"> of exploitation, and undermine constitutional guarantees as well as international commitments. The gig economy cannot be forced to create a dichotomy between innovation and rights, so with a careful balance of controls, it can be a strong source of decent jobs, economic integration, and sustainable development. India therefore needs to go beyond regulating ambiguity and embrace a rights-based approach which considers the need to balance the rules of technological advancement with the unnegotiable requirements of human dignity and social justice.</w:t>
      </w:r>
    </w:p>
    <w:p w14:paraId="2A1CAE6A" w14:textId="77777777" w:rsidR="000216B5" w:rsidRPr="006244E8" w:rsidRDefault="000216B5" w:rsidP="000216B5">
      <w:pPr>
        <w:rPr>
          <w:rFonts w:ascii="Times New Roman" w:hAnsi="Times New Roman" w:cs="Times New Roman"/>
          <w:sz w:val="24"/>
          <w:szCs w:val="24"/>
        </w:rPr>
      </w:pPr>
    </w:p>
    <w:p w14:paraId="295BD99F" w14:textId="77777777" w:rsidR="000216B5" w:rsidRPr="006244E8" w:rsidRDefault="000216B5" w:rsidP="000216B5">
      <w:pPr>
        <w:rPr>
          <w:rFonts w:ascii="Times New Roman" w:hAnsi="Times New Roman" w:cs="Times New Roman"/>
          <w:sz w:val="24"/>
          <w:szCs w:val="24"/>
        </w:rPr>
      </w:pPr>
    </w:p>
    <w:p w14:paraId="43B87CAE" w14:textId="77777777" w:rsidR="000216B5" w:rsidRDefault="000216B5" w:rsidP="000216B5">
      <w:pPr>
        <w:rPr>
          <w:rFonts w:ascii="Times New Roman" w:hAnsi="Times New Roman" w:cs="Times New Roman"/>
          <w:sz w:val="24"/>
          <w:szCs w:val="24"/>
        </w:rPr>
      </w:pPr>
    </w:p>
    <w:p w14:paraId="74ECAAAA" w14:textId="77777777" w:rsidR="00314F94" w:rsidRDefault="00314F94" w:rsidP="000216B5">
      <w:pPr>
        <w:rPr>
          <w:rFonts w:ascii="Times New Roman" w:hAnsi="Times New Roman" w:cs="Times New Roman"/>
          <w:sz w:val="24"/>
          <w:szCs w:val="24"/>
        </w:rPr>
      </w:pPr>
    </w:p>
    <w:p w14:paraId="68A26EFB" w14:textId="77777777" w:rsidR="00A11D3C" w:rsidRPr="006244E8" w:rsidRDefault="00A11D3C" w:rsidP="00A11D3C">
      <w:pPr>
        <w:rPr>
          <w:rFonts w:ascii="Times New Roman" w:hAnsi="Times New Roman" w:cs="Times New Roman"/>
          <w:sz w:val="24"/>
          <w:szCs w:val="24"/>
        </w:rPr>
      </w:pPr>
    </w:p>
    <w:p w14:paraId="3A888B85" w14:textId="77777777" w:rsidR="00A11D3C" w:rsidRDefault="00A11D3C" w:rsidP="00A11D3C">
      <w:pPr>
        <w:spacing w:after="210"/>
      </w:pPr>
      <w:r>
        <w:rPr>
          <w:b/>
        </w:rPr>
        <w:t>Declaration</w:t>
      </w:r>
    </w:p>
    <w:p w14:paraId="235D5339" w14:textId="77777777" w:rsidR="00A11D3C" w:rsidRDefault="00A11D3C" w:rsidP="00A11D3C">
      <w:pPr>
        <w:spacing w:after="210"/>
      </w:pPr>
      <w:r>
        <w:t>I, Mayank A. Chandra, hereby declare that this paper is my original work and has not been published elsewhere. It adheres to UGC anti-plagiarism guidelines, with plagiarism below 10% excluding footnotes and references. I am solely responsible for the accuracy of statements, opinions, and views presented.</w:t>
      </w:r>
    </w:p>
    <w:p w14:paraId="0A304CA8" w14:textId="77777777" w:rsidR="00314F94" w:rsidRDefault="00314F94" w:rsidP="000216B5">
      <w:pPr>
        <w:rPr>
          <w:rFonts w:ascii="Times New Roman" w:hAnsi="Times New Roman" w:cs="Times New Roman"/>
          <w:sz w:val="24"/>
          <w:szCs w:val="24"/>
        </w:rPr>
      </w:pPr>
    </w:p>
    <w:p w14:paraId="73E5307D" w14:textId="77777777" w:rsidR="00314F94" w:rsidRDefault="00314F94" w:rsidP="000216B5">
      <w:pPr>
        <w:rPr>
          <w:rFonts w:ascii="Times New Roman" w:hAnsi="Times New Roman" w:cs="Times New Roman"/>
          <w:sz w:val="24"/>
          <w:szCs w:val="24"/>
        </w:rPr>
      </w:pPr>
    </w:p>
    <w:p w14:paraId="2EDB7744" w14:textId="77777777" w:rsidR="00314F94" w:rsidRDefault="00314F94" w:rsidP="000216B5">
      <w:pPr>
        <w:rPr>
          <w:rFonts w:ascii="Times New Roman" w:hAnsi="Times New Roman" w:cs="Times New Roman"/>
          <w:sz w:val="24"/>
          <w:szCs w:val="24"/>
        </w:rPr>
      </w:pPr>
    </w:p>
    <w:p w14:paraId="76A9685E" w14:textId="77777777" w:rsidR="00314F94" w:rsidRDefault="00314F94" w:rsidP="000216B5">
      <w:pPr>
        <w:rPr>
          <w:rFonts w:ascii="Times New Roman" w:hAnsi="Times New Roman" w:cs="Times New Roman"/>
          <w:sz w:val="24"/>
          <w:szCs w:val="24"/>
        </w:rPr>
      </w:pPr>
    </w:p>
    <w:p w14:paraId="49D58459" w14:textId="77777777" w:rsidR="00314F94" w:rsidRDefault="00314F94" w:rsidP="000216B5">
      <w:pPr>
        <w:rPr>
          <w:rFonts w:ascii="Times New Roman" w:hAnsi="Times New Roman" w:cs="Times New Roman"/>
          <w:sz w:val="24"/>
          <w:szCs w:val="24"/>
        </w:rPr>
      </w:pPr>
    </w:p>
    <w:p w14:paraId="6CE6A821" w14:textId="77777777" w:rsidR="00314F94" w:rsidRDefault="00314F94" w:rsidP="000216B5">
      <w:pPr>
        <w:rPr>
          <w:rFonts w:ascii="Times New Roman" w:hAnsi="Times New Roman" w:cs="Times New Roman"/>
          <w:sz w:val="24"/>
          <w:szCs w:val="24"/>
        </w:rPr>
      </w:pPr>
    </w:p>
    <w:p w14:paraId="3BDDF009" w14:textId="77777777" w:rsidR="00314F94" w:rsidRPr="006244E8" w:rsidRDefault="00314F94" w:rsidP="000216B5">
      <w:pPr>
        <w:rPr>
          <w:rFonts w:ascii="Times New Roman" w:hAnsi="Times New Roman" w:cs="Times New Roman"/>
          <w:sz w:val="24"/>
          <w:szCs w:val="24"/>
        </w:rPr>
      </w:pPr>
    </w:p>
    <w:p w14:paraId="577FD661" w14:textId="77777777" w:rsidR="00314F94" w:rsidRDefault="00314F94" w:rsidP="00314F94"/>
    <w:p w14:paraId="254A1C6D" w14:textId="77777777" w:rsidR="000216B5" w:rsidRPr="006244E8" w:rsidRDefault="000216B5" w:rsidP="000216B5">
      <w:pPr>
        <w:rPr>
          <w:rFonts w:ascii="Times New Roman" w:hAnsi="Times New Roman" w:cs="Times New Roman"/>
          <w:sz w:val="24"/>
          <w:szCs w:val="24"/>
        </w:rPr>
      </w:pPr>
    </w:p>
    <w:p w14:paraId="27315897" w14:textId="77777777" w:rsidR="000216B5" w:rsidRPr="006244E8" w:rsidRDefault="000216B5" w:rsidP="000216B5">
      <w:pPr>
        <w:rPr>
          <w:rFonts w:ascii="Times New Roman" w:hAnsi="Times New Roman" w:cs="Times New Roman"/>
          <w:sz w:val="24"/>
          <w:szCs w:val="24"/>
        </w:rPr>
      </w:pPr>
    </w:p>
    <w:p w14:paraId="2B206E46" w14:textId="77777777" w:rsidR="000216B5" w:rsidRPr="006244E8" w:rsidRDefault="000216B5" w:rsidP="000216B5">
      <w:pPr>
        <w:rPr>
          <w:rFonts w:ascii="Times New Roman" w:hAnsi="Times New Roman" w:cs="Times New Roman"/>
          <w:sz w:val="24"/>
          <w:szCs w:val="24"/>
        </w:rPr>
      </w:pPr>
    </w:p>
    <w:p w14:paraId="16334FF8" w14:textId="77777777" w:rsidR="000216B5" w:rsidRPr="006244E8" w:rsidRDefault="000216B5" w:rsidP="000216B5">
      <w:pPr>
        <w:rPr>
          <w:rFonts w:ascii="Times New Roman" w:hAnsi="Times New Roman" w:cs="Times New Roman"/>
          <w:sz w:val="24"/>
          <w:szCs w:val="24"/>
        </w:rPr>
      </w:pPr>
    </w:p>
    <w:p w14:paraId="498F9D15" w14:textId="77777777" w:rsidR="000216B5" w:rsidRPr="006244E8" w:rsidRDefault="000216B5" w:rsidP="000216B5">
      <w:pPr>
        <w:rPr>
          <w:rFonts w:ascii="Times New Roman" w:hAnsi="Times New Roman" w:cs="Times New Roman"/>
          <w:sz w:val="24"/>
          <w:szCs w:val="24"/>
        </w:rPr>
      </w:pPr>
    </w:p>
    <w:p w14:paraId="258A0D1E" w14:textId="77777777" w:rsidR="000216B5" w:rsidRDefault="000216B5" w:rsidP="000216B5">
      <w:pPr>
        <w:rPr>
          <w:rFonts w:ascii="Times New Roman" w:hAnsi="Times New Roman" w:cs="Times New Roman"/>
          <w:sz w:val="24"/>
          <w:szCs w:val="24"/>
        </w:rPr>
      </w:pPr>
    </w:p>
    <w:p w14:paraId="3C25ED3F" w14:textId="77777777" w:rsidR="000216B5" w:rsidRPr="006244E8" w:rsidRDefault="000216B5" w:rsidP="000216B5">
      <w:pPr>
        <w:tabs>
          <w:tab w:val="left" w:pos="6169"/>
        </w:tabs>
        <w:rPr>
          <w:rFonts w:ascii="Times New Roman" w:hAnsi="Times New Roman" w:cs="Times New Roman"/>
          <w:sz w:val="24"/>
          <w:szCs w:val="24"/>
        </w:rPr>
      </w:pPr>
      <w:r>
        <w:rPr>
          <w:rFonts w:ascii="Times New Roman" w:hAnsi="Times New Roman" w:cs="Times New Roman"/>
          <w:sz w:val="24"/>
          <w:szCs w:val="24"/>
        </w:rPr>
        <w:tab/>
      </w:r>
    </w:p>
    <w:p w14:paraId="250E0476" w14:textId="77777777" w:rsidR="000216B5" w:rsidRDefault="000216B5"/>
    <w:sectPr w:rsidR="000216B5" w:rsidSect="00CA7A91">
      <w:pgSz w:w="11906" w:h="16838"/>
      <w:pgMar w:top="1440" w:right="1440" w:bottom="1440" w:left="1440" w:header="708" w:footer="708" w:gutter="0"/>
      <w:pgBorders w:offsetFrom="page">
        <w:top w:val="single" w:sz="2" w:space="24" w:color="auto"/>
        <w:left w:val="single" w:sz="2" w:space="24" w:color="auto"/>
        <w:bottom w:val="single" w:sz="2" w:space="24" w:color="auto"/>
        <w:right w:val="single" w:sz="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196DC" w14:textId="77777777" w:rsidR="00EE7A40" w:rsidRDefault="00EE7A40" w:rsidP="006D3B4E">
      <w:pPr>
        <w:spacing w:after="0" w:line="240" w:lineRule="auto"/>
      </w:pPr>
      <w:r>
        <w:separator/>
      </w:r>
    </w:p>
  </w:endnote>
  <w:endnote w:type="continuationSeparator" w:id="0">
    <w:p w14:paraId="06B0C4C2" w14:textId="77777777" w:rsidR="00EE7A40" w:rsidRDefault="00EE7A40" w:rsidP="006D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C1ECD" w14:textId="77777777" w:rsidR="00EE7A40" w:rsidRDefault="00EE7A40" w:rsidP="006D3B4E">
      <w:pPr>
        <w:spacing w:after="0" w:line="240" w:lineRule="auto"/>
      </w:pPr>
      <w:r>
        <w:separator/>
      </w:r>
    </w:p>
  </w:footnote>
  <w:footnote w:type="continuationSeparator" w:id="0">
    <w:p w14:paraId="0B15BCD6" w14:textId="77777777" w:rsidR="00EE7A40" w:rsidRDefault="00EE7A40" w:rsidP="006D3B4E">
      <w:pPr>
        <w:spacing w:after="0" w:line="240" w:lineRule="auto"/>
      </w:pPr>
      <w:r>
        <w:continuationSeparator/>
      </w:r>
    </w:p>
  </w:footnote>
  <w:footnote w:id="1">
    <w:p w14:paraId="52B8D3A9" w14:textId="0979E5CA"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NITI Aayog, </w:t>
      </w:r>
      <w:r w:rsidRPr="00501C2C">
        <w:rPr>
          <w:rFonts w:ascii="Times New Roman" w:hAnsi="Times New Roman" w:cs="Times New Roman"/>
          <w:i/>
        </w:rPr>
        <w:t>India's Booming Gig and Platform Economy</w:t>
      </w:r>
      <w:r w:rsidRPr="00501C2C">
        <w:rPr>
          <w:rFonts w:ascii="Times New Roman" w:hAnsi="Times New Roman" w:cs="Times New Roman"/>
        </w:rPr>
        <w:t xml:space="preserve"> 7-9 (2022).</w:t>
      </w:r>
    </w:p>
  </w:footnote>
  <w:footnote w:id="2">
    <w:p w14:paraId="7ABA4849" w14:textId="4F4553BF"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Pramila Sharma &amp; Virender Kumar Negi, </w:t>
      </w:r>
      <w:r w:rsidRPr="00501C2C">
        <w:rPr>
          <w:rFonts w:ascii="Times New Roman" w:hAnsi="Times New Roman" w:cs="Times New Roman"/>
          <w:i/>
        </w:rPr>
        <w:t xml:space="preserve">Invisible </w:t>
      </w:r>
      <w:proofErr w:type="spellStart"/>
      <w:r w:rsidRPr="00501C2C">
        <w:rPr>
          <w:rFonts w:ascii="Times New Roman" w:hAnsi="Times New Roman" w:cs="Times New Roman"/>
          <w:i/>
        </w:rPr>
        <w:t>Labour</w:t>
      </w:r>
      <w:proofErr w:type="spellEnd"/>
      <w:r w:rsidRPr="00501C2C">
        <w:rPr>
          <w:rFonts w:ascii="Times New Roman" w:hAnsi="Times New Roman" w:cs="Times New Roman"/>
          <w:i/>
        </w:rPr>
        <w:t xml:space="preserve"> and Digital Exploitation: A Critical Legal Inquiry into Gig Work in India</w:t>
      </w:r>
      <w:r w:rsidRPr="00501C2C">
        <w:rPr>
          <w:rFonts w:ascii="Times New Roman" w:hAnsi="Times New Roman" w:cs="Times New Roman"/>
        </w:rPr>
        <w:t xml:space="preserve">, 7 Int'l J. Multidisciplinary </w:t>
      </w:r>
      <w:proofErr w:type="spellStart"/>
      <w:r w:rsidRPr="00501C2C">
        <w:rPr>
          <w:rFonts w:ascii="Times New Roman" w:hAnsi="Times New Roman" w:cs="Times New Roman"/>
        </w:rPr>
        <w:t>Rsch</w:t>
      </w:r>
      <w:proofErr w:type="spellEnd"/>
      <w:r w:rsidRPr="00501C2C">
        <w:rPr>
          <w:rFonts w:ascii="Times New Roman" w:hAnsi="Times New Roman" w:cs="Times New Roman"/>
        </w:rPr>
        <w:t>. 3 (2025).</w:t>
      </w:r>
    </w:p>
  </w:footnote>
  <w:footnote w:id="3">
    <w:p w14:paraId="3D852475" w14:textId="1321CBF9"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Sony Kulshrestha, </w:t>
      </w:r>
      <w:r w:rsidRPr="00501C2C">
        <w:rPr>
          <w:rFonts w:ascii="Times New Roman" w:hAnsi="Times New Roman" w:cs="Times New Roman"/>
          <w:i/>
        </w:rPr>
        <w:t>Governing Platform Work in India: A Risk Matrix Approach to Tackling Algorithmic Arbitrage in Line with the SDGs</w:t>
      </w:r>
      <w:r w:rsidRPr="00501C2C">
        <w:rPr>
          <w:rFonts w:ascii="Times New Roman" w:hAnsi="Times New Roman" w:cs="Times New Roman"/>
        </w:rPr>
        <w:t xml:space="preserve">, 8 Int'l J. Innovative </w:t>
      </w:r>
      <w:proofErr w:type="spellStart"/>
      <w:r w:rsidRPr="00501C2C">
        <w:rPr>
          <w:rFonts w:ascii="Times New Roman" w:hAnsi="Times New Roman" w:cs="Times New Roman"/>
        </w:rPr>
        <w:t>Rsch</w:t>
      </w:r>
      <w:proofErr w:type="spellEnd"/>
      <w:r w:rsidRPr="00501C2C">
        <w:rPr>
          <w:rFonts w:ascii="Times New Roman" w:hAnsi="Times New Roman" w:cs="Times New Roman"/>
        </w:rPr>
        <w:t>. Sci. Stud. 1203 (2025).</w:t>
      </w:r>
    </w:p>
  </w:footnote>
  <w:footnote w:id="4">
    <w:p w14:paraId="2EFBE9C5" w14:textId="1AE436D2"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Code on Social Security, 2020, No. 36 of 2020, India Code (2020).</w:t>
      </w:r>
    </w:p>
  </w:footnote>
  <w:footnote w:id="5">
    <w:p w14:paraId="399143A4" w14:textId="00E54AF1"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Nira Ramachandran &amp; A. Josphine Reena, </w:t>
      </w:r>
      <w:r w:rsidRPr="00501C2C">
        <w:rPr>
          <w:rFonts w:ascii="Times New Roman" w:hAnsi="Times New Roman" w:cs="Times New Roman"/>
          <w:i/>
        </w:rPr>
        <w:t>Gig Workers and Their Social Security Measures</w:t>
      </w:r>
      <w:r w:rsidRPr="00501C2C">
        <w:rPr>
          <w:rFonts w:ascii="Times New Roman" w:hAnsi="Times New Roman" w:cs="Times New Roman"/>
        </w:rPr>
        <w:t xml:space="preserve">, in </w:t>
      </w:r>
      <w:proofErr w:type="spellStart"/>
      <w:r w:rsidRPr="00501C2C">
        <w:rPr>
          <w:rFonts w:ascii="Times New Roman" w:hAnsi="Times New Roman" w:cs="Times New Roman"/>
        </w:rPr>
        <w:t>Labour</w:t>
      </w:r>
      <w:proofErr w:type="spellEnd"/>
      <w:r w:rsidRPr="00501C2C">
        <w:rPr>
          <w:rFonts w:ascii="Times New Roman" w:hAnsi="Times New Roman" w:cs="Times New Roman"/>
        </w:rPr>
        <w:t xml:space="preserve"> Market Dynamics in the Gig Economy 5 (MGM Publishing 2025).</w:t>
      </w:r>
    </w:p>
  </w:footnote>
  <w:footnote w:id="6">
    <w:p w14:paraId="5477AEC2" w14:textId="24296D28"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p>
  </w:footnote>
  <w:footnote w:id="7">
    <w:p w14:paraId="4C0AA65C" w14:textId="120F3E4B"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eastAsia="Georgia" w:hAnsi="Times New Roman" w:cs="Times New Roman"/>
        </w:rPr>
        <w:t>Olga Tellis v. Bombay Municipal Corporation, AIR 1986 SC 180, ¶ 33.</w:t>
      </w:r>
    </w:p>
  </w:footnote>
  <w:footnote w:id="8">
    <w:p w14:paraId="0C73A9C2" w14:textId="2932710E"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People's Union for Democratic Rights v. Union of India, AIR 1982 SC 1473; </w:t>
      </w:r>
      <w:proofErr w:type="spellStart"/>
      <w:r w:rsidRPr="00501C2C">
        <w:rPr>
          <w:rFonts w:ascii="Times New Roman" w:hAnsi="Times New Roman" w:cs="Times New Roman"/>
        </w:rPr>
        <w:t>Bandhua</w:t>
      </w:r>
      <w:proofErr w:type="spellEnd"/>
      <w:r w:rsidRPr="00501C2C">
        <w:rPr>
          <w:rFonts w:ascii="Times New Roman" w:hAnsi="Times New Roman" w:cs="Times New Roman"/>
        </w:rPr>
        <w:t xml:space="preserve"> Mukti Morcha v. Union of India, AIR 1984 SC 802.</w:t>
      </w:r>
    </w:p>
  </w:footnote>
  <w:footnote w:id="9">
    <w:p w14:paraId="5B52E8EE" w14:textId="1DFAA20F"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R. Jith &amp; M. Dhanalakshmi, </w:t>
      </w:r>
      <w:r w:rsidRPr="00501C2C">
        <w:rPr>
          <w:rFonts w:ascii="Times New Roman" w:hAnsi="Times New Roman" w:cs="Times New Roman"/>
          <w:i/>
        </w:rPr>
        <w:t>Swipe to Earn: India's Leap into the Platform Economy</w:t>
      </w:r>
      <w:r w:rsidRPr="00501C2C">
        <w:rPr>
          <w:rFonts w:ascii="Times New Roman" w:hAnsi="Times New Roman" w:cs="Times New Roman"/>
        </w:rPr>
        <w:t xml:space="preserve">, in </w:t>
      </w:r>
      <w:proofErr w:type="spellStart"/>
      <w:r w:rsidRPr="00501C2C">
        <w:rPr>
          <w:rFonts w:ascii="Times New Roman" w:hAnsi="Times New Roman" w:cs="Times New Roman"/>
        </w:rPr>
        <w:t>Labour</w:t>
      </w:r>
      <w:proofErr w:type="spellEnd"/>
      <w:r w:rsidRPr="00501C2C">
        <w:rPr>
          <w:rFonts w:ascii="Times New Roman" w:hAnsi="Times New Roman" w:cs="Times New Roman"/>
        </w:rPr>
        <w:t xml:space="preserve"> Market Dynamics in the Gig Economy 150 (MGM Publishing 2025).</w:t>
      </w:r>
    </w:p>
  </w:footnote>
  <w:footnote w:id="10">
    <w:p w14:paraId="76DBE59B" w14:textId="737CC891"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ILO Convention No. 98, art. 4, July 1, 1949, 96 U.N.T.S. 257.</w:t>
      </w:r>
    </w:p>
  </w:footnote>
  <w:footnote w:id="11">
    <w:p w14:paraId="65DD4A18" w14:textId="3F8C2267"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eastAsia="Georgia" w:hAnsi="Times New Roman" w:cs="Times New Roman"/>
        </w:rPr>
        <w:t>Code on Social Security, 2020, § 2(35).</w:t>
      </w:r>
    </w:p>
  </w:footnote>
  <w:footnote w:id="12">
    <w:p w14:paraId="7EC15AD2" w14:textId="25CD825B" w:rsidR="006D3B4E" w:rsidRPr="00501C2C" w:rsidRDefault="006D3B4E"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w:t>
      </w:r>
      <w:r w:rsidRPr="00501C2C">
        <w:rPr>
          <w:rFonts w:ascii="Times New Roman" w:hAnsi="Times New Roman" w:cs="Times New Roman"/>
          <w:i/>
          <w:sz w:val="20"/>
          <w:szCs w:val="20"/>
        </w:rPr>
        <w:t>Id.</w:t>
      </w:r>
      <w:r w:rsidRPr="00501C2C">
        <w:rPr>
          <w:rFonts w:ascii="Times New Roman" w:eastAsia="Georgia" w:hAnsi="Times New Roman" w:cs="Times New Roman"/>
          <w:sz w:val="20"/>
          <w:szCs w:val="20"/>
        </w:rPr>
        <w:t xml:space="preserve"> § 2(62).</w:t>
      </w:r>
    </w:p>
  </w:footnote>
  <w:footnote w:id="13">
    <w:p w14:paraId="65ED14C1" w14:textId="6F8366A1"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Sharma &amp; Negi, </w:t>
      </w:r>
      <w:r w:rsidRPr="00501C2C">
        <w:rPr>
          <w:rFonts w:ascii="Times New Roman" w:hAnsi="Times New Roman" w:cs="Times New Roman"/>
          <w:i/>
        </w:rPr>
        <w:t>supra</w:t>
      </w:r>
      <w:r w:rsidRPr="00501C2C">
        <w:rPr>
          <w:rFonts w:ascii="Times New Roman" w:hAnsi="Times New Roman" w:cs="Times New Roman"/>
        </w:rPr>
        <w:t xml:space="preserve"> note 2, at 4.</w:t>
      </w:r>
    </w:p>
  </w:footnote>
  <w:footnote w:id="14">
    <w:p w14:paraId="063A76E9" w14:textId="725E57BD" w:rsidR="006D3B4E" w:rsidRPr="00501C2C" w:rsidRDefault="006D3B4E"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Zoya Sood, </w:t>
      </w:r>
      <w:r w:rsidRPr="00501C2C">
        <w:rPr>
          <w:rFonts w:ascii="Times New Roman" w:hAnsi="Times New Roman" w:cs="Times New Roman"/>
          <w:i/>
          <w:sz w:val="20"/>
          <w:szCs w:val="20"/>
        </w:rPr>
        <w:t xml:space="preserve">Algorithmic Management and </w:t>
      </w:r>
      <w:proofErr w:type="spellStart"/>
      <w:r w:rsidRPr="00501C2C">
        <w:rPr>
          <w:rFonts w:ascii="Times New Roman" w:hAnsi="Times New Roman" w:cs="Times New Roman"/>
          <w:i/>
          <w:sz w:val="20"/>
          <w:szCs w:val="20"/>
        </w:rPr>
        <w:t>Labour</w:t>
      </w:r>
      <w:proofErr w:type="spellEnd"/>
      <w:r w:rsidRPr="00501C2C">
        <w:rPr>
          <w:rFonts w:ascii="Times New Roman" w:hAnsi="Times New Roman" w:cs="Times New Roman"/>
          <w:i/>
          <w:sz w:val="20"/>
          <w:szCs w:val="20"/>
        </w:rPr>
        <w:t xml:space="preserve"> Protection in India's Gig Economy: A Critical Analysis of Worker Experiences and Recent Legislative Reforms</w:t>
      </w:r>
      <w:r w:rsidRPr="00501C2C">
        <w:rPr>
          <w:rFonts w:ascii="Times New Roman" w:hAnsi="Times New Roman" w:cs="Times New Roman"/>
          <w:sz w:val="20"/>
          <w:szCs w:val="20"/>
        </w:rPr>
        <w:t xml:space="preserve">, 11 Int'l J. Soc. Sci. &amp; Econ. </w:t>
      </w:r>
      <w:proofErr w:type="spellStart"/>
      <w:r w:rsidRPr="00501C2C">
        <w:rPr>
          <w:rFonts w:ascii="Times New Roman" w:hAnsi="Times New Roman" w:cs="Times New Roman"/>
          <w:sz w:val="20"/>
          <w:szCs w:val="20"/>
        </w:rPr>
        <w:t>Rsch</w:t>
      </w:r>
      <w:proofErr w:type="spellEnd"/>
      <w:r w:rsidRPr="00501C2C">
        <w:rPr>
          <w:rFonts w:ascii="Times New Roman" w:hAnsi="Times New Roman" w:cs="Times New Roman"/>
          <w:sz w:val="20"/>
          <w:szCs w:val="20"/>
        </w:rPr>
        <w:t>. 481, 493 (2026).</w:t>
      </w:r>
    </w:p>
  </w:footnote>
  <w:footnote w:id="15">
    <w:p w14:paraId="1378CEBA" w14:textId="1123A33B"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eastAsia="Georgia" w:hAnsi="Times New Roman" w:cs="Times New Roman"/>
        </w:rPr>
        <w:t xml:space="preserve">Code on Social Security, 2020, § 114; Press Information Bureau, </w:t>
      </w:r>
      <w:proofErr w:type="spellStart"/>
      <w:r w:rsidRPr="00501C2C">
        <w:rPr>
          <w:rFonts w:ascii="Times New Roman" w:hAnsi="Times New Roman" w:cs="Times New Roman"/>
          <w:i/>
        </w:rPr>
        <w:t>Formalising</w:t>
      </w:r>
      <w:proofErr w:type="spellEnd"/>
      <w:r w:rsidRPr="00501C2C">
        <w:rPr>
          <w:rFonts w:ascii="Times New Roman" w:hAnsi="Times New Roman" w:cs="Times New Roman"/>
          <w:i/>
        </w:rPr>
        <w:t xml:space="preserve"> and Safeguarding India's Gig &amp; Platform Workforce</w:t>
      </w:r>
      <w:r w:rsidRPr="00501C2C">
        <w:rPr>
          <w:rFonts w:ascii="Times New Roman" w:hAnsi="Times New Roman" w:cs="Times New Roman"/>
        </w:rPr>
        <w:t xml:space="preserve"> (Dec. 8, 2025),</w:t>
      </w:r>
    </w:p>
  </w:footnote>
  <w:footnote w:id="16">
    <w:p w14:paraId="419FF5FD" w14:textId="4BB42F3A"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Sood, </w:t>
      </w:r>
      <w:r w:rsidRPr="00501C2C">
        <w:rPr>
          <w:rFonts w:ascii="Times New Roman" w:hAnsi="Times New Roman" w:cs="Times New Roman"/>
          <w:i/>
        </w:rPr>
        <w:t>supra</w:t>
      </w:r>
      <w:r w:rsidRPr="00501C2C">
        <w:rPr>
          <w:rFonts w:ascii="Times New Roman" w:hAnsi="Times New Roman" w:cs="Times New Roman"/>
        </w:rPr>
        <w:t xml:space="preserve"> note 16, at 491-92.</w:t>
      </w:r>
    </w:p>
  </w:footnote>
  <w:footnote w:id="17">
    <w:p w14:paraId="5E425416" w14:textId="3ABFC699"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Ramachandran &amp; Reena, </w:t>
      </w:r>
      <w:r w:rsidRPr="00501C2C">
        <w:rPr>
          <w:rFonts w:ascii="Times New Roman" w:hAnsi="Times New Roman" w:cs="Times New Roman"/>
          <w:i/>
        </w:rPr>
        <w:t>supra</w:t>
      </w:r>
      <w:r w:rsidRPr="00501C2C">
        <w:rPr>
          <w:rFonts w:ascii="Times New Roman" w:hAnsi="Times New Roman" w:cs="Times New Roman"/>
        </w:rPr>
        <w:t xml:space="preserve"> note 5, at 10.</w:t>
      </w:r>
    </w:p>
  </w:footnote>
  <w:footnote w:id="18">
    <w:p w14:paraId="5F985F78" w14:textId="4B6D2B87"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International Covenant on Economic, Social and Cultural Rights, Dec. 16, 1966, 993 U.N.T.S. 3.</w:t>
      </w:r>
    </w:p>
  </w:footnote>
  <w:footnote w:id="19">
    <w:p w14:paraId="11AE353B" w14:textId="5B0AB07F"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Joe Atkinson &amp; Natalie Sedacca, </w:t>
      </w:r>
      <w:proofErr w:type="spellStart"/>
      <w:r w:rsidRPr="00501C2C">
        <w:rPr>
          <w:rFonts w:ascii="Times New Roman" w:hAnsi="Times New Roman" w:cs="Times New Roman"/>
          <w:i/>
        </w:rPr>
        <w:t>Realising</w:t>
      </w:r>
      <w:proofErr w:type="spellEnd"/>
      <w:r w:rsidRPr="00501C2C">
        <w:rPr>
          <w:rFonts w:ascii="Times New Roman" w:hAnsi="Times New Roman" w:cs="Times New Roman"/>
          <w:i/>
        </w:rPr>
        <w:t xml:space="preserve"> Decent Work for Platform Workers: A Human Rights Approach</w:t>
      </w:r>
      <w:r w:rsidRPr="00501C2C">
        <w:rPr>
          <w:rFonts w:ascii="Times New Roman" w:hAnsi="Times New Roman" w:cs="Times New Roman"/>
        </w:rPr>
        <w:t xml:space="preserve">, </w:t>
      </w:r>
      <w:proofErr w:type="spellStart"/>
      <w:r w:rsidRPr="00501C2C">
        <w:rPr>
          <w:rFonts w:ascii="Times New Roman" w:hAnsi="Times New Roman" w:cs="Times New Roman"/>
        </w:rPr>
        <w:t>Transnat'l</w:t>
      </w:r>
      <w:proofErr w:type="spellEnd"/>
      <w:r w:rsidRPr="00501C2C">
        <w:rPr>
          <w:rFonts w:ascii="Times New Roman" w:hAnsi="Times New Roman" w:cs="Times New Roman"/>
        </w:rPr>
        <w:t xml:space="preserve"> Legal Theory (June 19, 2025),</w:t>
      </w:r>
    </w:p>
  </w:footnote>
  <w:footnote w:id="20">
    <w:p w14:paraId="1BAB6FED" w14:textId="77777777" w:rsidR="006D3B4E" w:rsidRPr="00501C2C" w:rsidRDefault="006D3B4E"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w:t>
      </w:r>
      <w:r w:rsidRPr="00501C2C">
        <w:rPr>
          <w:rFonts w:ascii="Times New Roman" w:hAnsi="Times New Roman" w:cs="Times New Roman"/>
          <w:i/>
          <w:sz w:val="20"/>
          <w:szCs w:val="20"/>
        </w:rPr>
        <w:t>Id.</w:t>
      </w:r>
      <w:r w:rsidRPr="00501C2C">
        <w:rPr>
          <w:rFonts w:ascii="Times New Roman" w:hAnsi="Times New Roman" w:cs="Times New Roman"/>
          <w:sz w:val="20"/>
          <w:szCs w:val="20"/>
        </w:rPr>
        <w:t xml:space="preserve"> at 4-6.</w:t>
      </w:r>
    </w:p>
    <w:p w14:paraId="3C32EC70" w14:textId="1AF19FA1" w:rsidR="006D3B4E" w:rsidRPr="00501C2C" w:rsidRDefault="006D3B4E" w:rsidP="00501C2C">
      <w:pPr>
        <w:pStyle w:val="FootnoteText"/>
        <w:rPr>
          <w:rFonts w:ascii="Times New Roman" w:hAnsi="Times New Roman" w:cs="Times New Roman"/>
        </w:rPr>
      </w:pPr>
    </w:p>
  </w:footnote>
  <w:footnote w:id="21">
    <w:p w14:paraId="16145A60" w14:textId="697FABB8"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Sood, </w:t>
      </w:r>
      <w:r w:rsidRPr="00501C2C">
        <w:rPr>
          <w:rFonts w:ascii="Times New Roman" w:hAnsi="Times New Roman" w:cs="Times New Roman"/>
          <w:i/>
        </w:rPr>
        <w:t>supra</w:t>
      </w:r>
      <w:r w:rsidRPr="00501C2C">
        <w:rPr>
          <w:rFonts w:ascii="Times New Roman" w:hAnsi="Times New Roman" w:cs="Times New Roman"/>
        </w:rPr>
        <w:t xml:space="preserve"> note 16, at 481.</w:t>
      </w:r>
    </w:p>
  </w:footnote>
  <w:footnote w:id="22">
    <w:p w14:paraId="24EA314D" w14:textId="611C82CF"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r w:rsidRPr="00501C2C">
        <w:rPr>
          <w:rFonts w:ascii="Times New Roman" w:hAnsi="Times New Roman" w:cs="Times New Roman"/>
        </w:rPr>
        <w:t xml:space="preserve"> at 489.</w:t>
      </w:r>
    </w:p>
  </w:footnote>
  <w:footnote w:id="23">
    <w:p w14:paraId="3E6C61F4" w14:textId="4F4148DA"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r w:rsidRPr="00501C2C">
        <w:rPr>
          <w:rFonts w:ascii="Times New Roman" w:hAnsi="Times New Roman" w:cs="Times New Roman"/>
        </w:rPr>
        <w:t xml:space="preserve"> at 491-92.</w:t>
      </w:r>
    </w:p>
  </w:footnote>
  <w:footnote w:id="24">
    <w:p w14:paraId="50E1F6AE" w14:textId="210BF395"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proofErr w:type="spellStart"/>
      <w:r w:rsidRPr="00501C2C">
        <w:rPr>
          <w:rFonts w:ascii="Times New Roman" w:hAnsi="Times New Roman" w:cs="Times New Roman"/>
        </w:rPr>
        <w:t>Deepashree</w:t>
      </w:r>
      <w:proofErr w:type="spellEnd"/>
      <w:r w:rsidRPr="00501C2C">
        <w:rPr>
          <w:rFonts w:ascii="Times New Roman" w:hAnsi="Times New Roman" w:cs="Times New Roman"/>
        </w:rPr>
        <w:t xml:space="preserve"> R., </w:t>
      </w:r>
      <w:r w:rsidRPr="00501C2C">
        <w:rPr>
          <w:rFonts w:ascii="Times New Roman" w:hAnsi="Times New Roman" w:cs="Times New Roman"/>
          <w:i/>
        </w:rPr>
        <w:t>A Comprehensive Analysis of India's Gig Economy: Legal Frameworks, Algorithmic Governance, and Social Realities</w:t>
      </w:r>
      <w:r w:rsidRPr="00501C2C">
        <w:rPr>
          <w:rFonts w:ascii="Times New Roman" w:hAnsi="Times New Roman" w:cs="Times New Roman"/>
        </w:rPr>
        <w:t>, Int'l J. L., Soc. Sci. &amp; Stud. (Aug. 12, 2025),</w:t>
      </w:r>
    </w:p>
  </w:footnote>
  <w:footnote w:id="25">
    <w:p w14:paraId="7C34BDCF" w14:textId="1C60FA01"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p>
  </w:footnote>
  <w:footnote w:id="26">
    <w:p w14:paraId="011DED08" w14:textId="2AB203CE"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eastAsia="Georgia" w:hAnsi="Times New Roman" w:cs="Times New Roman"/>
        </w:rPr>
        <w:t>Code on Social Security, 2020, § 2(35).</w:t>
      </w:r>
    </w:p>
  </w:footnote>
  <w:footnote w:id="27">
    <w:p w14:paraId="5FAD5E2B" w14:textId="09677E9C" w:rsidR="006D3B4E" w:rsidRPr="00501C2C" w:rsidRDefault="006D3B4E"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w:t>
      </w:r>
      <w:r w:rsidRPr="00501C2C">
        <w:rPr>
          <w:rFonts w:ascii="Times New Roman" w:hAnsi="Times New Roman" w:cs="Times New Roman"/>
          <w:i/>
          <w:sz w:val="20"/>
          <w:szCs w:val="20"/>
        </w:rPr>
        <w:t>Id.</w:t>
      </w:r>
      <w:r w:rsidRPr="00501C2C">
        <w:rPr>
          <w:rFonts w:ascii="Times New Roman" w:eastAsia="Georgia" w:hAnsi="Times New Roman" w:cs="Times New Roman"/>
          <w:sz w:val="20"/>
          <w:szCs w:val="20"/>
        </w:rPr>
        <w:t xml:space="preserve"> § 2(62).</w:t>
      </w:r>
    </w:p>
  </w:footnote>
  <w:footnote w:id="28">
    <w:p w14:paraId="54BBBB04" w14:textId="0B570616"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Sharma &amp; Negi, </w:t>
      </w:r>
      <w:r w:rsidRPr="00501C2C">
        <w:rPr>
          <w:rFonts w:ascii="Times New Roman" w:hAnsi="Times New Roman" w:cs="Times New Roman"/>
          <w:i/>
        </w:rPr>
        <w:t>supra</w:t>
      </w:r>
      <w:r w:rsidRPr="00501C2C">
        <w:rPr>
          <w:rFonts w:ascii="Times New Roman" w:hAnsi="Times New Roman" w:cs="Times New Roman"/>
        </w:rPr>
        <w:t xml:space="preserve"> note 2, at 4.</w:t>
      </w:r>
    </w:p>
  </w:footnote>
  <w:footnote w:id="29">
    <w:p w14:paraId="3C63B152" w14:textId="6270CEFB" w:rsidR="006D3B4E" w:rsidRPr="00501C2C" w:rsidRDefault="006D3B4E"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w:t>
      </w:r>
      <w:r w:rsidRPr="00501C2C">
        <w:rPr>
          <w:rFonts w:ascii="Times New Roman" w:hAnsi="Times New Roman" w:cs="Times New Roman"/>
          <w:i/>
          <w:sz w:val="20"/>
          <w:szCs w:val="20"/>
        </w:rPr>
        <w:t>Id.</w:t>
      </w:r>
    </w:p>
  </w:footnote>
  <w:footnote w:id="30">
    <w:p w14:paraId="490DA063" w14:textId="2E27AC2B"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eastAsia="Georgia" w:hAnsi="Times New Roman" w:cs="Times New Roman"/>
        </w:rPr>
        <w:t>Code on Social Security, 2020, § 109(2).</w:t>
      </w:r>
    </w:p>
  </w:footnote>
  <w:footnote w:id="31">
    <w:p w14:paraId="7EA294BF" w14:textId="7D457E12"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r w:rsidRPr="00501C2C">
        <w:rPr>
          <w:rFonts w:ascii="Times New Roman" w:eastAsia="Georgia" w:hAnsi="Times New Roman" w:cs="Times New Roman"/>
        </w:rPr>
        <w:t xml:space="preserve"> § 114.</w:t>
      </w:r>
    </w:p>
  </w:footnote>
  <w:footnote w:id="32">
    <w:p w14:paraId="24F1D535" w14:textId="4A68DA83"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Ramachandran &amp; Reena, </w:t>
      </w:r>
      <w:r w:rsidRPr="00501C2C">
        <w:rPr>
          <w:rFonts w:ascii="Times New Roman" w:hAnsi="Times New Roman" w:cs="Times New Roman"/>
          <w:i/>
        </w:rPr>
        <w:t>supra</w:t>
      </w:r>
      <w:r w:rsidRPr="00501C2C">
        <w:rPr>
          <w:rFonts w:ascii="Times New Roman" w:hAnsi="Times New Roman" w:cs="Times New Roman"/>
        </w:rPr>
        <w:t xml:space="preserve"> note 5, at 10.</w:t>
      </w:r>
    </w:p>
  </w:footnote>
  <w:footnote w:id="33">
    <w:p w14:paraId="2E2CB62B" w14:textId="7861ABC3"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Sharma &amp; Negi, </w:t>
      </w:r>
      <w:r w:rsidRPr="00501C2C">
        <w:rPr>
          <w:rFonts w:ascii="Times New Roman" w:hAnsi="Times New Roman" w:cs="Times New Roman"/>
          <w:i/>
        </w:rPr>
        <w:t>supra</w:t>
      </w:r>
      <w:r w:rsidRPr="00501C2C">
        <w:rPr>
          <w:rFonts w:ascii="Times New Roman" w:hAnsi="Times New Roman" w:cs="Times New Roman"/>
        </w:rPr>
        <w:t xml:space="preserve"> note 2, at 6.</w:t>
      </w:r>
    </w:p>
  </w:footnote>
  <w:footnote w:id="34">
    <w:p w14:paraId="19ECBFEE" w14:textId="158CAC76"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Kulshrestha, </w:t>
      </w:r>
      <w:r w:rsidRPr="00501C2C">
        <w:rPr>
          <w:rFonts w:ascii="Times New Roman" w:hAnsi="Times New Roman" w:cs="Times New Roman"/>
          <w:i/>
        </w:rPr>
        <w:t>supra</w:t>
      </w:r>
      <w:r w:rsidRPr="00501C2C">
        <w:rPr>
          <w:rFonts w:ascii="Times New Roman" w:hAnsi="Times New Roman" w:cs="Times New Roman"/>
        </w:rPr>
        <w:t xml:space="preserve"> note 3, at 1207.</w:t>
      </w:r>
    </w:p>
  </w:footnote>
  <w:footnote w:id="35">
    <w:p w14:paraId="271C9335" w14:textId="6CA65F8E"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p>
  </w:footnote>
  <w:footnote w:id="36">
    <w:p w14:paraId="79ED387C" w14:textId="242BD8CC"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Kulshrestha, </w:t>
      </w:r>
      <w:r w:rsidRPr="00501C2C">
        <w:rPr>
          <w:rFonts w:ascii="Times New Roman" w:hAnsi="Times New Roman" w:cs="Times New Roman"/>
          <w:i/>
        </w:rPr>
        <w:t>supra</w:t>
      </w:r>
      <w:r w:rsidRPr="00501C2C">
        <w:rPr>
          <w:rFonts w:ascii="Times New Roman" w:hAnsi="Times New Roman" w:cs="Times New Roman"/>
        </w:rPr>
        <w:t xml:space="preserve"> note 3, at 1203.</w:t>
      </w:r>
    </w:p>
  </w:footnote>
  <w:footnote w:id="37">
    <w:p w14:paraId="680E4616" w14:textId="1CC168C0" w:rsidR="006D3B4E" w:rsidRPr="00501C2C" w:rsidRDefault="006D3B4E"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Jith &amp; Dhanalakshmi, </w:t>
      </w:r>
      <w:r w:rsidRPr="00501C2C">
        <w:rPr>
          <w:rFonts w:ascii="Times New Roman" w:hAnsi="Times New Roman" w:cs="Times New Roman"/>
          <w:i/>
          <w:sz w:val="20"/>
          <w:szCs w:val="20"/>
        </w:rPr>
        <w:t>supra</w:t>
      </w:r>
      <w:r w:rsidRPr="00501C2C">
        <w:rPr>
          <w:rFonts w:ascii="Times New Roman" w:hAnsi="Times New Roman" w:cs="Times New Roman"/>
          <w:sz w:val="20"/>
          <w:szCs w:val="20"/>
        </w:rPr>
        <w:t xml:space="preserve"> note 9, at 152.</w:t>
      </w:r>
    </w:p>
  </w:footnote>
  <w:footnote w:id="38">
    <w:p w14:paraId="270D3D72" w14:textId="2022D05A"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Ramachandran &amp; Reena, </w:t>
      </w:r>
      <w:r w:rsidRPr="00501C2C">
        <w:rPr>
          <w:rFonts w:ascii="Times New Roman" w:hAnsi="Times New Roman" w:cs="Times New Roman"/>
          <w:i/>
        </w:rPr>
        <w:t>supra</w:t>
      </w:r>
      <w:r w:rsidRPr="00501C2C">
        <w:rPr>
          <w:rFonts w:ascii="Times New Roman" w:hAnsi="Times New Roman" w:cs="Times New Roman"/>
        </w:rPr>
        <w:t xml:space="preserve"> note 5, at 11.</w:t>
      </w:r>
    </w:p>
  </w:footnote>
  <w:footnote w:id="39">
    <w:p w14:paraId="3A02F3C9" w14:textId="09EDC43B"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Kulshrestha, </w:t>
      </w:r>
      <w:r w:rsidRPr="00501C2C">
        <w:rPr>
          <w:rFonts w:ascii="Times New Roman" w:hAnsi="Times New Roman" w:cs="Times New Roman"/>
          <w:i/>
        </w:rPr>
        <w:t>supra</w:t>
      </w:r>
      <w:r w:rsidRPr="00501C2C">
        <w:rPr>
          <w:rFonts w:ascii="Times New Roman" w:hAnsi="Times New Roman" w:cs="Times New Roman"/>
        </w:rPr>
        <w:t xml:space="preserve"> note 3, at 1208.</w:t>
      </w:r>
    </w:p>
  </w:footnote>
  <w:footnote w:id="40">
    <w:p w14:paraId="75A4BBC8" w14:textId="16B68022" w:rsidR="006D3B4E" w:rsidRPr="00501C2C" w:rsidRDefault="006D3B4E"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Sharma &amp; Negi, </w:t>
      </w:r>
      <w:r w:rsidRPr="00501C2C">
        <w:rPr>
          <w:rFonts w:ascii="Times New Roman" w:hAnsi="Times New Roman" w:cs="Times New Roman"/>
          <w:i/>
          <w:sz w:val="20"/>
          <w:szCs w:val="20"/>
        </w:rPr>
        <w:t>supra</w:t>
      </w:r>
      <w:r w:rsidRPr="00501C2C">
        <w:rPr>
          <w:rFonts w:ascii="Times New Roman" w:hAnsi="Times New Roman" w:cs="Times New Roman"/>
          <w:sz w:val="20"/>
          <w:szCs w:val="20"/>
        </w:rPr>
        <w:t xml:space="preserve"> note 2, at 7.</w:t>
      </w:r>
    </w:p>
  </w:footnote>
  <w:footnote w:id="41">
    <w:p w14:paraId="4F6A489E" w14:textId="42DC4100" w:rsidR="006D3B4E" w:rsidRPr="00501C2C" w:rsidRDefault="006D3B4E"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NITI Aayog, </w:t>
      </w:r>
      <w:r w:rsidRPr="00501C2C">
        <w:rPr>
          <w:rFonts w:ascii="Times New Roman" w:hAnsi="Times New Roman" w:cs="Times New Roman"/>
          <w:i/>
          <w:sz w:val="20"/>
          <w:szCs w:val="20"/>
        </w:rPr>
        <w:t>Gig Economy Survey 2025</w:t>
      </w:r>
      <w:r w:rsidRPr="00501C2C">
        <w:rPr>
          <w:rFonts w:ascii="Times New Roman" w:hAnsi="Times New Roman" w:cs="Times New Roman"/>
          <w:sz w:val="20"/>
          <w:szCs w:val="20"/>
        </w:rPr>
        <w:t>.</w:t>
      </w:r>
    </w:p>
  </w:footnote>
  <w:footnote w:id="42">
    <w:p w14:paraId="3A421C10" w14:textId="63331F34"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eastAsia="Georgia" w:hAnsi="Times New Roman" w:cs="Times New Roman"/>
        </w:rPr>
        <w:t>Olga Tellis, AIR 1986 SC 180, ¶ 33.</w:t>
      </w:r>
    </w:p>
  </w:footnote>
  <w:footnote w:id="43">
    <w:p w14:paraId="67ED08FA" w14:textId="7F356A79"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eastAsia="Georgia" w:hAnsi="Times New Roman" w:cs="Times New Roman"/>
        </w:rPr>
        <w:t>People's Union for Democratic Rights, AIR 1982 SC 1473, ¶ 15.</w:t>
      </w:r>
    </w:p>
  </w:footnote>
  <w:footnote w:id="44">
    <w:p w14:paraId="1B4549FE" w14:textId="06D7F741"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Jith &amp; Dhanalakshmi, </w:t>
      </w:r>
      <w:r w:rsidRPr="00501C2C">
        <w:rPr>
          <w:rFonts w:ascii="Times New Roman" w:hAnsi="Times New Roman" w:cs="Times New Roman"/>
          <w:i/>
        </w:rPr>
        <w:t>supra</w:t>
      </w:r>
      <w:r w:rsidRPr="00501C2C">
        <w:rPr>
          <w:rFonts w:ascii="Times New Roman" w:hAnsi="Times New Roman" w:cs="Times New Roman"/>
        </w:rPr>
        <w:t xml:space="preserve"> note 9, at 155.</w:t>
      </w:r>
    </w:p>
  </w:footnote>
  <w:footnote w:id="45">
    <w:p w14:paraId="79B089F0" w14:textId="496D47EE"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r w:rsidRPr="00501C2C">
        <w:rPr>
          <w:rFonts w:ascii="Times New Roman" w:hAnsi="Times New Roman" w:cs="Times New Roman"/>
        </w:rPr>
        <w:t xml:space="preserve"> at 156.</w:t>
      </w:r>
    </w:p>
  </w:footnote>
  <w:footnote w:id="46">
    <w:p w14:paraId="4D5E04F4" w14:textId="36457583"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Kulshrestha, </w:t>
      </w:r>
      <w:r w:rsidRPr="00501C2C">
        <w:rPr>
          <w:rFonts w:ascii="Times New Roman" w:hAnsi="Times New Roman" w:cs="Times New Roman"/>
          <w:i/>
        </w:rPr>
        <w:t>supra</w:t>
      </w:r>
      <w:r w:rsidRPr="00501C2C">
        <w:rPr>
          <w:rFonts w:ascii="Times New Roman" w:hAnsi="Times New Roman" w:cs="Times New Roman"/>
        </w:rPr>
        <w:t xml:space="preserve"> note 3, at 1209.</w:t>
      </w:r>
    </w:p>
  </w:footnote>
  <w:footnote w:id="47">
    <w:p w14:paraId="516FA14D" w14:textId="70A4DDDB"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r w:rsidRPr="00501C2C">
        <w:rPr>
          <w:rFonts w:ascii="Times New Roman" w:hAnsi="Times New Roman" w:cs="Times New Roman"/>
        </w:rPr>
        <w:t xml:space="preserve"> at 1210.</w:t>
      </w:r>
    </w:p>
  </w:footnote>
  <w:footnote w:id="48">
    <w:p w14:paraId="38041228" w14:textId="6EFF7CB7"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Jith &amp; Dhanalakshmi, </w:t>
      </w:r>
      <w:r w:rsidRPr="00501C2C">
        <w:rPr>
          <w:rFonts w:ascii="Times New Roman" w:hAnsi="Times New Roman" w:cs="Times New Roman"/>
          <w:i/>
        </w:rPr>
        <w:t>supra</w:t>
      </w:r>
      <w:r w:rsidRPr="00501C2C">
        <w:rPr>
          <w:rFonts w:ascii="Times New Roman" w:hAnsi="Times New Roman" w:cs="Times New Roman"/>
        </w:rPr>
        <w:t xml:space="preserve"> note 9, at 158.</w:t>
      </w:r>
    </w:p>
  </w:footnote>
  <w:footnote w:id="49">
    <w:p w14:paraId="36CF206F" w14:textId="2B50D127"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Indian Federation of App-based Transport Workers, </w:t>
      </w:r>
      <w:r w:rsidRPr="00501C2C">
        <w:rPr>
          <w:rFonts w:ascii="Times New Roman" w:hAnsi="Times New Roman" w:cs="Times New Roman"/>
          <w:i/>
        </w:rPr>
        <w:t>Annual Report 2025</w:t>
      </w:r>
      <w:r w:rsidRPr="00501C2C">
        <w:rPr>
          <w:rFonts w:ascii="Times New Roman" w:hAnsi="Times New Roman" w:cs="Times New Roman"/>
        </w:rPr>
        <w:t>.</w:t>
      </w:r>
    </w:p>
  </w:footnote>
  <w:footnote w:id="50">
    <w:p w14:paraId="343019E1" w14:textId="7B157BAE"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International Covenant on Economic, Social and Cultural Rights, Dec. 16, 1966, 993 U.N.T.S. 3.</w:t>
      </w:r>
    </w:p>
  </w:footnote>
  <w:footnote w:id="51">
    <w:p w14:paraId="2123B63C" w14:textId="79724220" w:rsidR="006D3B4E" w:rsidRPr="00501C2C" w:rsidRDefault="006D3B4E"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r w:rsidRPr="00501C2C">
        <w:rPr>
          <w:rFonts w:ascii="Times New Roman" w:hAnsi="Times New Roman" w:cs="Times New Roman"/>
        </w:rPr>
        <w:t xml:space="preserve"> arts. 6, 7.</w:t>
      </w:r>
    </w:p>
  </w:footnote>
  <w:footnote w:id="52">
    <w:p w14:paraId="53BAB04F" w14:textId="5DA04B8C"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ILO Convention No. 98, July 1, 1949, 96 U.N.T.S. 257.</w:t>
      </w:r>
    </w:p>
  </w:footnote>
  <w:footnote w:id="53">
    <w:p w14:paraId="40DA72B9" w14:textId="612BD881"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r w:rsidRPr="00501C2C">
        <w:rPr>
          <w:rFonts w:ascii="Times New Roman" w:hAnsi="Times New Roman" w:cs="Times New Roman"/>
        </w:rPr>
        <w:t xml:space="preserve"> arts. 1, 2, 4.</w:t>
      </w:r>
    </w:p>
  </w:footnote>
  <w:footnote w:id="54">
    <w:p w14:paraId="49A5619E" w14:textId="20F10A67"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International </w:t>
      </w:r>
      <w:proofErr w:type="spellStart"/>
      <w:r w:rsidRPr="00501C2C">
        <w:rPr>
          <w:rFonts w:ascii="Times New Roman" w:hAnsi="Times New Roman" w:cs="Times New Roman"/>
        </w:rPr>
        <w:t>Labour</w:t>
      </w:r>
      <w:proofErr w:type="spellEnd"/>
      <w:r w:rsidRPr="00501C2C">
        <w:rPr>
          <w:rFonts w:ascii="Times New Roman" w:hAnsi="Times New Roman" w:cs="Times New Roman"/>
        </w:rPr>
        <w:t xml:space="preserve"> Organization, </w:t>
      </w:r>
      <w:r w:rsidRPr="00501C2C">
        <w:rPr>
          <w:rFonts w:ascii="Times New Roman" w:hAnsi="Times New Roman" w:cs="Times New Roman"/>
          <w:i/>
        </w:rPr>
        <w:t>Decent Work and the Informal Economy</w:t>
      </w:r>
      <w:r w:rsidRPr="00501C2C">
        <w:rPr>
          <w:rFonts w:ascii="Times New Roman" w:hAnsi="Times New Roman" w:cs="Times New Roman"/>
        </w:rPr>
        <w:t>, Report VI, at 27 (2002).</w:t>
      </w:r>
    </w:p>
  </w:footnote>
  <w:footnote w:id="55">
    <w:p w14:paraId="743EE3A5" w14:textId="0751BC85"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Kulshrestha, </w:t>
      </w:r>
      <w:r w:rsidRPr="00501C2C">
        <w:rPr>
          <w:rFonts w:ascii="Times New Roman" w:hAnsi="Times New Roman" w:cs="Times New Roman"/>
          <w:i/>
        </w:rPr>
        <w:t>supra</w:t>
      </w:r>
      <w:r w:rsidRPr="00501C2C">
        <w:rPr>
          <w:rFonts w:ascii="Times New Roman" w:hAnsi="Times New Roman" w:cs="Times New Roman"/>
        </w:rPr>
        <w:t xml:space="preserve"> note 3, at 1211.</w:t>
      </w:r>
    </w:p>
  </w:footnote>
  <w:footnote w:id="56">
    <w:p w14:paraId="573B5140" w14:textId="3F60DFBD"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eastAsia="Georgia" w:hAnsi="Times New Roman" w:cs="Times New Roman"/>
        </w:rPr>
        <w:t>Industrial Relations Code, 2020, § 2(k).</w:t>
      </w:r>
    </w:p>
  </w:footnote>
  <w:footnote w:id="57">
    <w:p w14:paraId="517038C2" w14:textId="424CDFE0" w:rsidR="006E0C4A" w:rsidRPr="00501C2C" w:rsidRDefault="006E0C4A"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Jith &amp; Dhanalakshmi, </w:t>
      </w:r>
      <w:r w:rsidRPr="00501C2C">
        <w:rPr>
          <w:rFonts w:ascii="Times New Roman" w:hAnsi="Times New Roman" w:cs="Times New Roman"/>
          <w:i/>
          <w:sz w:val="20"/>
          <w:szCs w:val="20"/>
        </w:rPr>
        <w:t>supra</w:t>
      </w:r>
      <w:r w:rsidRPr="00501C2C">
        <w:rPr>
          <w:rFonts w:ascii="Times New Roman" w:hAnsi="Times New Roman" w:cs="Times New Roman"/>
          <w:sz w:val="20"/>
          <w:szCs w:val="20"/>
        </w:rPr>
        <w:t xml:space="preserve"> note 9, at 160.</w:t>
      </w:r>
    </w:p>
  </w:footnote>
  <w:footnote w:id="58">
    <w:p w14:paraId="0819C5A1" w14:textId="5BF774BC"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Kulshrestha, </w:t>
      </w:r>
      <w:r w:rsidRPr="00501C2C">
        <w:rPr>
          <w:rFonts w:ascii="Times New Roman" w:hAnsi="Times New Roman" w:cs="Times New Roman"/>
          <w:i/>
        </w:rPr>
        <w:t>supra</w:t>
      </w:r>
      <w:r w:rsidRPr="00501C2C">
        <w:rPr>
          <w:rFonts w:ascii="Times New Roman" w:hAnsi="Times New Roman" w:cs="Times New Roman"/>
        </w:rPr>
        <w:t xml:space="preserve"> note 3, at 1212.</w:t>
      </w:r>
    </w:p>
  </w:footnote>
  <w:footnote w:id="59">
    <w:p w14:paraId="4BD778F6" w14:textId="1A357B7B" w:rsidR="006E0C4A" w:rsidRPr="00501C2C" w:rsidRDefault="006E0C4A"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Alex Rosenblat, </w:t>
      </w:r>
      <w:proofErr w:type="spellStart"/>
      <w:r w:rsidRPr="00501C2C">
        <w:rPr>
          <w:rFonts w:ascii="Times New Roman" w:hAnsi="Times New Roman" w:cs="Times New Roman"/>
          <w:i/>
          <w:sz w:val="20"/>
          <w:szCs w:val="20"/>
        </w:rPr>
        <w:t>Uberland</w:t>
      </w:r>
      <w:proofErr w:type="spellEnd"/>
      <w:r w:rsidRPr="00501C2C">
        <w:rPr>
          <w:rFonts w:ascii="Times New Roman" w:hAnsi="Times New Roman" w:cs="Times New Roman"/>
          <w:i/>
          <w:sz w:val="20"/>
          <w:szCs w:val="20"/>
        </w:rPr>
        <w:t>: How Algorithms Are Rewriting the Rules of Work</w:t>
      </w:r>
      <w:r w:rsidRPr="00501C2C">
        <w:rPr>
          <w:rFonts w:ascii="Times New Roman" w:hAnsi="Times New Roman" w:cs="Times New Roman"/>
          <w:sz w:val="20"/>
          <w:szCs w:val="20"/>
        </w:rPr>
        <w:t xml:space="preserve"> 45 (University of California Press 2018).</w:t>
      </w:r>
    </w:p>
  </w:footnote>
  <w:footnote w:id="60">
    <w:p w14:paraId="677F52D2" w14:textId="7287032F"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Jith &amp; Dhanalakshmi, </w:t>
      </w:r>
      <w:r w:rsidRPr="00501C2C">
        <w:rPr>
          <w:rFonts w:ascii="Times New Roman" w:hAnsi="Times New Roman" w:cs="Times New Roman"/>
          <w:i/>
        </w:rPr>
        <w:t>supra</w:t>
      </w:r>
      <w:r w:rsidRPr="00501C2C">
        <w:rPr>
          <w:rFonts w:ascii="Times New Roman" w:hAnsi="Times New Roman" w:cs="Times New Roman"/>
        </w:rPr>
        <w:t xml:space="preserve"> note 9, at 164.</w:t>
      </w:r>
    </w:p>
  </w:footnote>
  <w:footnote w:id="61">
    <w:p w14:paraId="5678C6E4" w14:textId="7FB820F1"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Kulshrestha, </w:t>
      </w:r>
      <w:r w:rsidRPr="00501C2C">
        <w:rPr>
          <w:rFonts w:ascii="Times New Roman" w:hAnsi="Times New Roman" w:cs="Times New Roman"/>
          <w:i/>
        </w:rPr>
        <w:t>supra</w:t>
      </w:r>
      <w:r w:rsidRPr="00501C2C">
        <w:rPr>
          <w:rFonts w:ascii="Times New Roman" w:hAnsi="Times New Roman" w:cs="Times New Roman"/>
        </w:rPr>
        <w:t xml:space="preserve"> note 3, at 1215.</w:t>
      </w:r>
    </w:p>
  </w:footnote>
  <w:footnote w:id="62">
    <w:p w14:paraId="7D7C7B9C" w14:textId="7BBC0ED2"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r w:rsidRPr="00501C2C">
        <w:rPr>
          <w:rFonts w:ascii="Times New Roman" w:hAnsi="Times New Roman" w:cs="Times New Roman"/>
        </w:rPr>
        <w:t xml:space="preserve"> at 1217.</w:t>
      </w:r>
    </w:p>
  </w:footnote>
  <w:footnote w:id="63">
    <w:p w14:paraId="58CF1498" w14:textId="10CECEC4" w:rsidR="006E0C4A" w:rsidRPr="00501C2C" w:rsidRDefault="006E0C4A"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Proposal for a Directive on Platform Work, COM (2021) 762 final (Dec. 9, 2021).</w:t>
      </w:r>
    </w:p>
  </w:footnote>
  <w:footnote w:id="64">
    <w:p w14:paraId="6F5C6E82" w14:textId="7BC2F808"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eastAsia="Georgia" w:hAnsi="Times New Roman" w:cs="Times New Roman"/>
        </w:rPr>
        <w:t>Cal. Lab. Code § 2750.3 (West 2020).</w:t>
      </w:r>
    </w:p>
  </w:footnote>
  <w:footnote w:id="65">
    <w:p w14:paraId="1E8B31CF" w14:textId="65AB3E1C"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Uber BV v. Aslam, [2021] UKSC 5.</w:t>
      </w:r>
    </w:p>
  </w:footnote>
  <w:footnote w:id="66">
    <w:p w14:paraId="10250D98" w14:textId="3B9F6758"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Gig Workers Union v. Uber India, Delhi HC (2025).</w:t>
      </w:r>
    </w:p>
  </w:footnote>
  <w:footnote w:id="67">
    <w:p w14:paraId="60A7C5A5" w14:textId="68DEE7B4" w:rsidR="006E0C4A" w:rsidRPr="00501C2C" w:rsidRDefault="006E0C4A"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Vibha Bhandari, </w:t>
      </w:r>
      <w:proofErr w:type="spellStart"/>
      <w:r w:rsidRPr="00501C2C">
        <w:rPr>
          <w:rFonts w:ascii="Times New Roman" w:hAnsi="Times New Roman" w:cs="Times New Roman"/>
          <w:i/>
          <w:sz w:val="20"/>
          <w:szCs w:val="20"/>
        </w:rPr>
        <w:t>Labour</w:t>
      </w:r>
      <w:proofErr w:type="spellEnd"/>
      <w:r w:rsidRPr="00501C2C">
        <w:rPr>
          <w:rFonts w:ascii="Times New Roman" w:hAnsi="Times New Roman" w:cs="Times New Roman"/>
          <w:i/>
          <w:sz w:val="20"/>
          <w:szCs w:val="20"/>
        </w:rPr>
        <w:t xml:space="preserve"> Law Reforms in India: Issues and Challenges</w:t>
      </w:r>
      <w:r w:rsidRPr="00501C2C">
        <w:rPr>
          <w:rFonts w:ascii="Times New Roman" w:hAnsi="Times New Roman" w:cs="Times New Roman"/>
          <w:sz w:val="20"/>
          <w:szCs w:val="20"/>
        </w:rPr>
        <w:t>, 57 Econ. &amp; Pol. Wkly. 47 (2022).</w:t>
      </w:r>
    </w:p>
  </w:footnote>
  <w:footnote w:id="68">
    <w:p w14:paraId="73295127" w14:textId="4C784CB6"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Kulshrestha, </w:t>
      </w:r>
      <w:r w:rsidRPr="00501C2C">
        <w:rPr>
          <w:rFonts w:ascii="Times New Roman" w:hAnsi="Times New Roman" w:cs="Times New Roman"/>
          <w:i/>
        </w:rPr>
        <w:t>supra</w:t>
      </w:r>
      <w:r w:rsidRPr="00501C2C">
        <w:rPr>
          <w:rFonts w:ascii="Times New Roman" w:hAnsi="Times New Roman" w:cs="Times New Roman"/>
        </w:rPr>
        <w:t xml:space="preserve"> note 3, at 1220.</w:t>
      </w:r>
    </w:p>
  </w:footnote>
  <w:footnote w:id="69">
    <w:p w14:paraId="4C608855" w14:textId="4A6BCE90" w:rsidR="006E0C4A" w:rsidRPr="00501C2C" w:rsidRDefault="006E0C4A" w:rsidP="00501C2C">
      <w:pPr>
        <w:spacing w:after="0" w:line="240" w:lineRule="auto"/>
        <w:rPr>
          <w:rFonts w:ascii="Times New Roman" w:hAnsi="Times New Roman" w:cs="Times New Roman"/>
          <w:sz w:val="20"/>
          <w:szCs w:val="20"/>
        </w:rPr>
      </w:pPr>
      <w:r w:rsidRPr="00501C2C">
        <w:rPr>
          <w:rStyle w:val="FootnoteReference"/>
          <w:rFonts w:ascii="Times New Roman" w:hAnsi="Times New Roman" w:cs="Times New Roman"/>
          <w:sz w:val="20"/>
          <w:szCs w:val="20"/>
        </w:rPr>
        <w:footnoteRef/>
      </w:r>
      <w:r w:rsidRPr="00501C2C">
        <w:rPr>
          <w:rFonts w:ascii="Times New Roman" w:hAnsi="Times New Roman" w:cs="Times New Roman"/>
          <w:sz w:val="20"/>
          <w:szCs w:val="20"/>
        </w:rPr>
        <w:t xml:space="preserve"> Ramachandran &amp; Reena, </w:t>
      </w:r>
      <w:r w:rsidRPr="00501C2C">
        <w:rPr>
          <w:rFonts w:ascii="Times New Roman" w:hAnsi="Times New Roman" w:cs="Times New Roman"/>
          <w:i/>
          <w:sz w:val="20"/>
          <w:szCs w:val="20"/>
        </w:rPr>
        <w:t>supra</w:t>
      </w:r>
      <w:r w:rsidRPr="00501C2C">
        <w:rPr>
          <w:rFonts w:ascii="Times New Roman" w:hAnsi="Times New Roman" w:cs="Times New Roman"/>
          <w:sz w:val="20"/>
          <w:szCs w:val="20"/>
        </w:rPr>
        <w:t xml:space="preserve"> note 5, at 17.</w:t>
      </w:r>
    </w:p>
  </w:footnote>
  <w:footnote w:id="70">
    <w:p w14:paraId="26240ED4" w14:textId="57B7C9D8"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Kulshrestha, </w:t>
      </w:r>
      <w:r w:rsidRPr="00501C2C">
        <w:rPr>
          <w:rFonts w:ascii="Times New Roman" w:hAnsi="Times New Roman" w:cs="Times New Roman"/>
          <w:i/>
        </w:rPr>
        <w:t>supra</w:t>
      </w:r>
      <w:r w:rsidRPr="00501C2C">
        <w:rPr>
          <w:rFonts w:ascii="Times New Roman" w:hAnsi="Times New Roman" w:cs="Times New Roman"/>
        </w:rPr>
        <w:t xml:space="preserve"> note 3, at 1221.</w:t>
      </w:r>
    </w:p>
  </w:footnote>
  <w:footnote w:id="71">
    <w:p w14:paraId="1C1A427E" w14:textId="48274612"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Ramachandran &amp; Reena, </w:t>
      </w:r>
      <w:r w:rsidRPr="00501C2C">
        <w:rPr>
          <w:rFonts w:ascii="Times New Roman" w:hAnsi="Times New Roman" w:cs="Times New Roman"/>
          <w:i/>
        </w:rPr>
        <w:t>supra</w:t>
      </w:r>
      <w:r w:rsidRPr="00501C2C">
        <w:rPr>
          <w:rFonts w:ascii="Times New Roman" w:hAnsi="Times New Roman" w:cs="Times New Roman"/>
        </w:rPr>
        <w:t xml:space="preserve"> note 5, at 18.</w:t>
      </w:r>
    </w:p>
  </w:footnote>
  <w:footnote w:id="72">
    <w:p w14:paraId="1675E2C8" w14:textId="18D1D223"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United Nations, </w:t>
      </w:r>
      <w:r w:rsidRPr="00501C2C">
        <w:rPr>
          <w:rFonts w:ascii="Times New Roman" w:hAnsi="Times New Roman" w:cs="Times New Roman"/>
          <w:i/>
        </w:rPr>
        <w:t>supra</w:t>
      </w:r>
      <w:r w:rsidRPr="00501C2C">
        <w:rPr>
          <w:rFonts w:ascii="Times New Roman" w:hAnsi="Times New Roman" w:cs="Times New Roman"/>
        </w:rPr>
        <w:t xml:space="preserve"> note 11, Goals 8, 10.</w:t>
      </w:r>
    </w:p>
  </w:footnote>
  <w:footnote w:id="73">
    <w:p w14:paraId="0BE539E1" w14:textId="0DA51E36"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r w:rsidRPr="00501C2C">
        <w:rPr>
          <w:rFonts w:ascii="Times New Roman" w:hAnsi="Times New Roman" w:cs="Times New Roman"/>
        </w:rPr>
        <w:t xml:space="preserve"> Goal 8.</w:t>
      </w:r>
    </w:p>
  </w:footnote>
  <w:footnote w:id="74">
    <w:p w14:paraId="3F6F5A43" w14:textId="3A404693" w:rsidR="006E0C4A" w:rsidRPr="00501C2C" w:rsidRDefault="006E0C4A" w:rsidP="00501C2C">
      <w:pPr>
        <w:pStyle w:val="FootnoteText"/>
        <w:rPr>
          <w:rFonts w:ascii="Times New Roman" w:hAnsi="Times New Roman" w:cs="Times New Roman"/>
        </w:rPr>
      </w:pPr>
      <w:r w:rsidRPr="00501C2C">
        <w:rPr>
          <w:rStyle w:val="FootnoteReference"/>
          <w:rFonts w:ascii="Times New Roman" w:hAnsi="Times New Roman" w:cs="Times New Roman"/>
        </w:rPr>
        <w:footnoteRef/>
      </w:r>
      <w:r w:rsidRPr="00501C2C">
        <w:rPr>
          <w:rFonts w:ascii="Times New Roman" w:hAnsi="Times New Roman" w:cs="Times New Roman"/>
        </w:rPr>
        <w:t xml:space="preserve"> </w:t>
      </w:r>
      <w:r w:rsidRPr="00501C2C">
        <w:rPr>
          <w:rFonts w:ascii="Times New Roman" w:hAnsi="Times New Roman" w:cs="Times New Roman"/>
          <w:i/>
        </w:rPr>
        <w:t>Id.</w:t>
      </w:r>
      <w:r w:rsidRPr="00501C2C">
        <w:rPr>
          <w:rFonts w:ascii="Times New Roman" w:hAnsi="Times New Roman" w:cs="Times New Roman"/>
        </w:rPr>
        <w:t xml:space="preserve"> Goal 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6B5"/>
    <w:rsid w:val="000216B5"/>
    <w:rsid w:val="000C77B3"/>
    <w:rsid w:val="001D32EE"/>
    <w:rsid w:val="00314F94"/>
    <w:rsid w:val="00407FD0"/>
    <w:rsid w:val="00501C2C"/>
    <w:rsid w:val="00645CB3"/>
    <w:rsid w:val="006D3B4E"/>
    <w:rsid w:val="006E0C4A"/>
    <w:rsid w:val="006F1F90"/>
    <w:rsid w:val="00902364"/>
    <w:rsid w:val="00A11D3C"/>
    <w:rsid w:val="00BA501A"/>
    <w:rsid w:val="00CA7A91"/>
    <w:rsid w:val="00CB0CAC"/>
    <w:rsid w:val="00EE7A40"/>
    <w:rsid w:val="00FA4F5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EA0DF"/>
  <w15:chartTrackingRefBased/>
  <w15:docId w15:val="{E1C4A682-1E65-284C-89E0-463B207B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6B5"/>
    <w:pPr>
      <w:spacing w:after="120" w:line="240" w:lineRule="atLeast"/>
    </w:pPr>
    <w:rPr>
      <w:rFonts w:ascii="Georgia"/>
      <w:kern w:val="0"/>
      <w:sz w:val="21"/>
      <w:szCs w:val="22"/>
      <w:lang w:val="en-US" w:bidi="ar-SA"/>
      <w14:ligatures w14:val="none"/>
    </w:rPr>
  </w:style>
  <w:style w:type="paragraph" w:styleId="Heading1">
    <w:name w:val="heading 1"/>
    <w:basedOn w:val="Normal"/>
    <w:next w:val="Normal"/>
    <w:link w:val="Heading1Char"/>
    <w:uiPriority w:val="9"/>
    <w:qFormat/>
    <w:rsid w:val="000216B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36"/>
      <w:lang w:val="en-IN" w:bidi="hi-IN"/>
      <w14:ligatures w14:val="standardContextual"/>
    </w:rPr>
  </w:style>
  <w:style w:type="paragraph" w:styleId="Heading2">
    <w:name w:val="heading 2"/>
    <w:basedOn w:val="Normal"/>
    <w:next w:val="Normal"/>
    <w:link w:val="Heading2Char"/>
    <w:uiPriority w:val="9"/>
    <w:semiHidden/>
    <w:unhideWhenUsed/>
    <w:qFormat/>
    <w:rsid w:val="000216B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29"/>
      <w:lang w:val="en-IN" w:bidi="hi-IN"/>
      <w14:ligatures w14:val="standardContextual"/>
    </w:rPr>
  </w:style>
  <w:style w:type="paragraph" w:styleId="Heading3">
    <w:name w:val="heading 3"/>
    <w:basedOn w:val="Normal"/>
    <w:next w:val="Normal"/>
    <w:link w:val="Heading3Char"/>
    <w:uiPriority w:val="9"/>
    <w:semiHidden/>
    <w:unhideWhenUsed/>
    <w:qFormat/>
    <w:rsid w:val="000216B5"/>
    <w:pPr>
      <w:keepNext/>
      <w:keepLines/>
      <w:spacing w:before="160" w:after="80" w:line="278" w:lineRule="auto"/>
      <w:outlineLvl w:val="2"/>
    </w:pPr>
    <w:rPr>
      <w:rFonts w:asciiTheme="minorHAnsi" w:eastAsiaTheme="majorEastAsia" w:cstheme="majorBidi"/>
      <w:color w:val="0F4761" w:themeColor="accent1" w:themeShade="BF"/>
      <w:kern w:val="2"/>
      <w:sz w:val="28"/>
      <w:szCs w:val="25"/>
      <w:lang w:val="en-IN" w:bidi="hi-IN"/>
      <w14:ligatures w14:val="standardContextual"/>
    </w:rPr>
  </w:style>
  <w:style w:type="paragraph" w:styleId="Heading4">
    <w:name w:val="heading 4"/>
    <w:basedOn w:val="Normal"/>
    <w:next w:val="Normal"/>
    <w:link w:val="Heading4Char"/>
    <w:uiPriority w:val="9"/>
    <w:semiHidden/>
    <w:unhideWhenUsed/>
    <w:qFormat/>
    <w:rsid w:val="000216B5"/>
    <w:pPr>
      <w:keepNext/>
      <w:keepLines/>
      <w:spacing w:before="80" w:after="40" w:line="278" w:lineRule="auto"/>
      <w:outlineLvl w:val="3"/>
    </w:pPr>
    <w:rPr>
      <w:rFonts w:asciiTheme="minorHAnsi" w:eastAsiaTheme="majorEastAsia" w:cstheme="majorBidi"/>
      <w:i/>
      <w:iCs/>
      <w:color w:val="0F4761" w:themeColor="accent1" w:themeShade="BF"/>
      <w:kern w:val="2"/>
      <w:sz w:val="24"/>
      <w:szCs w:val="21"/>
      <w:lang w:val="en-IN" w:bidi="hi-IN"/>
      <w14:ligatures w14:val="standardContextual"/>
    </w:rPr>
  </w:style>
  <w:style w:type="paragraph" w:styleId="Heading5">
    <w:name w:val="heading 5"/>
    <w:basedOn w:val="Normal"/>
    <w:next w:val="Normal"/>
    <w:link w:val="Heading5Char"/>
    <w:uiPriority w:val="9"/>
    <w:semiHidden/>
    <w:unhideWhenUsed/>
    <w:qFormat/>
    <w:rsid w:val="000216B5"/>
    <w:pPr>
      <w:keepNext/>
      <w:keepLines/>
      <w:spacing w:before="80" w:after="40" w:line="278" w:lineRule="auto"/>
      <w:outlineLvl w:val="4"/>
    </w:pPr>
    <w:rPr>
      <w:rFonts w:asciiTheme="minorHAnsi" w:eastAsiaTheme="majorEastAsia" w:cstheme="majorBidi"/>
      <w:color w:val="0F4761" w:themeColor="accent1" w:themeShade="BF"/>
      <w:kern w:val="2"/>
      <w:sz w:val="24"/>
      <w:szCs w:val="21"/>
      <w:lang w:val="en-IN" w:bidi="hi-IN"/>
      <w14:ligatures w14:val="standardContextual"/>
    </w:rPr>
  </w:style>
  <w:style w:type="paragraph" w:styleId="Heading6">
    <w:name w:val="heading 6"/>
    <w:basedOn w:val="Normal"/>
    <w:next w:val="Normal"/>
    <w:link w:val="Heading6Char"/>
    <w:uiPriority w:val="9"/>
    <w:semiHidden/>
    <w:unhideWhenUsed/>
    <w:qFormat/>
    <w:rsid w:val="000216B5"/>
    <w:pPr>
      <w:keepNext/>
      <w:keepLines/>
      <w:spacing w:before="40" w:after="0" w:line="278" w:lineRule="auto"/>
      <w:outlineLvl w:val="5"/>
    </w:pPr>
    <w:rPr>
      <w:rFonts w:asciiTheme="minorHAnsi" w:eastAsiaTheme="majorEastAsia" w:cstheme="majorBidi"/>
      <w:i/>
      <w:iCs/>
      <w:color w:val="595959" w:themeColor="text1" w:themeTint="A6"/>
      <w:kern w:val="2"/>
      <w:sz w:val="24"/>
      <w:szCs w:val="21"/>
      <w:lang w:val="en-IN" w:bidi="hi-IN"/>
      <w14:ligatures w14:val="standardContextual"/>
    </w:rPr>
  </w:style>
  <w:style w:type="paragraph" w:styleId="Heading7">
    <w:name w:val="heading 7"/>
    <w:basedOn w:val="Normal"/>
    <w:next w:val="Normal"/>
    <w:link w:val="Heading7Char"/>
    <w:uiPriority w:val="9"/>
    <w:semiHidden/>
    <w:unhideWhenUsed/>
    <w:qFormat/>
    <w:rsid w:val="000216B5"/>
    <w:pPr>
      <w:keepNext/>
      <w:keepLines/>
      <w:spacing w:before="40" w:after="0" w:line="278" w:lineRule="auto"/>
      <w:outlineLvl w:val="6"/>
    </w:pPr>
    <w:rPr>
      <w:rFonts w:asciiTheme="minorHAnsi" w:eastAsiaTheme="majorEastAsia" w:cstheme="majorBidi"/>
      <w:color w:val="595959" w:themeColor="text1" w:themeTint="A6"/>
      <w:kern w:val="2"/>
      <w:sz w:val="24"/>
      <w:szCs w:val="21"/>
      <w:lang w:val="en-IN" w:bidi="hi-IN"/>
      <w14:ligatures w14:val="standardContextual"/>
    </w:rPr>
  </w:style>
  <w:style w:type="paragraph" w:styleId="Heading8">
    <w:name w:val="heading 8"/>
    <w:basedOn w:val="Normal"/>
    <w:next w:val="Normal"/>
    <w:link w:val="Heading8Char"/>
    <w:uiPriority w:val="9"/>
    <w:semiHidden/>
    <w:unhideWhenUsed/>
    <w:qFormat/>
    <w:rsid w:val="000216B5"/>
    <w:pPr>
      <w:keepNext/>
      <w:keepLines/>
      <w:spacing w:after="0" w:line="278" w:lineRule="auto"/>
      <w:outlineLvl w:val="7"/>
    </w:pPr>
    <w:rPr>
      <w:rFonts w:asciiTheme="minorHAnsi" w:eastAsiaTheme="majorEastAsia" w:cstheme="majorBidi"/>
      <w:i/>
      <w:iCs/>
      <w:color w:val="272727" w:themeColor="text1" w:themeTint="D8"/>
      <w:kern w:val="2"/>
      <w:sz w:val="24"/>
      <w:szCs w:val="21"/>
      <w:lang w:val="en-IN" w:bidi="hi-IN"/>
      <w14:ligatures w14:val="standardContextual"/>
    </w:rPr>
  </w:style>
  <w:style w:type="paragraph" w:styleId="Heading9">
    <w:name w:val="heading 9"/>
    <w:basedOn w:val="Normal"/>
    <w:next w:val="Normal"/>
    <w:link w:val="Heading9Char"/>
    <w:uiPriority w:val="9"/>
    <w:semiHidden/>
    <w:unhideWhenUsed/>
    <w:qFormat/>
    <w:rsid w:val="000216B5"/>
    <w:pPr>
      <w:keepNext/>
      <w:keepLines/>
      <w:spacing w:after="0" w:line="278" w:lineRule="auto"/>
      <w:outlineLvl w:val="8"/>
    </w:pPr>
    <w:rPr>
      <w:rFonts w:asciiTheme="minorHAnsi" w:eastAsiaTheme="majorEastAsia" w:cstheme="majorBidi"/>
      <w:color w:val="272727" w:themeColor="text1" w:themeTint="D8"/>
      <w:kern w:val="2"/>
      <w:sz w:val="24"/>
      <w:szCs w:val="21"/>
      <w:lang w:val="en-IN" w:bidi="hi-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6B5"/>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0216B5"/>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0216B5"/>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0216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6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6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6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6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6B5"/>
    <w:rPr>
      <w:rFonts w:eastAsiaTheme="majorEastAsia" w:cstheme="majorBidi"/>
      <w:color w:val="272727" w:themeColor="text1" w:themeTint="D8"/>
    </w:rPr>
  </w:style>
  <w:style w:type="paragraph" w:styleId="Title">
    <w:name w:val="Title"/>
    <w:basedOn w:val="Normal"/>
    <w:next w:val="Normal"/>
    <w:link w:val="TitleChar"/>
    <w:uiPriority w:val="10"/>
    <w:qFormat/>
    <w:rsid w:val="000216B5"/>
    <w:pPr>
      <w:spacing w:after="80" w:line="240" w:lineRule="auto"/>
      <w:contextualSpacing/>
    </w:pPr>
    <w:rPr>
      <w:rFonts w:asciiTheme="majorHAnsi" w:eastAsiaTheme="majorEastAsia" w:hAnsiTheme="majorHAnsi" w:cstheme="majorBidi"/>
      <w:spacing w:val="-10"/>
      <w:kern w:val="28"/>
      <w:sz w:val="56"/>
      <w:szCs w:val="50"/>
      <w:lang w:val="en-IN" w:bidi="hi-IN"/>
      <w14:ligatures w14:val="standardContextual"/>
    </w:rPr>
  </w:style>
  <w:style w:type="character" w:customStyle="1" w:styleId="TitleChar">
    <w:name w:val="Title Char"/>
    <w:basedOn w:val="DefaultParagraphFont"/>
    <w:link w:val="Title"/>
    <w:uiPriority w:val="10"/>
    <w:rsid w:val="000216B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0216B5"/>
    <w:pPr>
      <w:numPr>
        <w:ilvl w:val="1"/>
      </w:numPr>
      <w:spacing w:after="160" w:line="278" w:lineRule="auto"/>
    </w:pPr>
    <w:rPr>
      <w:rFonts w:asciiTheme="minorHAnsi" w:eastAsiaTheme="majorEastAsia" w:cstheme="majorBidi"/>
      <w:color w:val="595959" w:themeColor="text1" w:themeTint="A6"/>
      <w:spacing w:val="15"/>
      <w:kern w:val="2"/>
      <w:sz w:val="28"/>
      <w:szCs w:val="25"/>
      <w:lang w:val="en-IN" w:bidi="hi-IN"/>
      <w14:ligatures w14:val="standardContextual"/>
    </w:rPr>
  </w:style>
  <w:style w:type="character" w:customStyle="1" w:styleId="SubtitleChar">
    <w:name w:val="Subtitle Char"/>
    <w:basedOn w:val="DefaultParagraphFont"/>
    <w:link w:val="Subtitle"/>
    <w:uiPriority w:val="11"/>
    <w:rsid w:val="000216B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0216B5"/>
    <w:pPr>
      <w:spacing w:before="160" w:after="160" w:line="278" w:lineRule="auto"/>
      <w:jc w:val="center"/>
    </w:pPr>
    <w:rPr>
      <w:rFonts w:asciiTheme="minorHAnsi" w:cs="Mangal"/>
      <w:i/>
      <w:iCs/>
      <w:color w:val="404040" w:themeColor="text1" w:themeTint="BF"/>
      <w:kern w:val="2"/>
      <w:sz w:val="24"/>
      <w:szCs w:val="21"/>
      <w:lang w:val="en-IN" w:bidi="hi-IN"/>
      <w14:ligatures w14:val="standardContextual"/>
    </w:rPr>
  </w:style>
  <w:style w:type="character" w:customStyle="1" w:styleId="QuoteChar">
    <w:name w:val="Quote Char"/>
    <w:basedOn w:val="DefaultParagraphFont"/>
    <w:link w:val="Quote"/>
    <w:uiPriority w:val="29"/>
    <w:rsid w:val="000216B5"/>
    <w:rPr>
      <w:rFonts w:cs="Mangal"/>
      <w:i/>
      <w:iCs/>
      <w:color w:val="404040" w:themeColor="text1" w:themeTint="BF"/>
    </w:rPr>
  </w:style>
  <w:style w:type="paragraph" w:styleId="ListParagraph">
    <w:name w:val="List Paragraph"/>
    <w:basedOn w:val="Normal"/>
    <w:uiPriority w:val="34"/>
    <w:qFormat/>
    <w:rsid w:val="000216B5"/>
    <w:pPr>
      <w:spacing w:after="160" w:line="278" w:lineRule="auto"/>
      <w:ind w:left="720"/>
      <w:contextualSpacing/>
    </w:pPr>
    <w:rPr>
      <w:rFonts w:asciiTheme="minorHAnsi" w:cs="Mangal"/>
      <w:kern w:val="2"/>
      <w:sz w:val="24"/>
      <w:szCs w:val="21"/>
      <w:lang w:val="en-IN" w:bidi="hi-IN"/>
      <w14:ligatures w14:val="standardContextual"/>
    </w:rPr>
  </w:style>
  <w:style w:type="character" w:styleId="IntenseEmphasis">
    <w:name w:val="Intense Emphasis"/>
    <w:basedOn w:val="DefaultParagraphFont"/>
    <w:uiPriority w:val="21"/>
    <w:qFormat/>
    <w:rsid w:val="000216B5"/>
    <w:rPr>
      <w:i/>
      <w:iCs/>
      <w:color w:val="0F4761" w:themeColor="accent1" w:themeShade="BF"/>
    </w:rPr>
  </w:style>
  <w:style w:type="paragraph" w:styleId="IntenseQuote">
    <w:name w:val="Intense Quote"/>
    <w:basedOn w:val="Normal"/>
    <w:next w:val="Normal"/>
    <w:link w:val="IntenseQuoteChar"/>
    <w:uiPriority w:val="30"/>
    <w:qFormat/>
    <w:rsid w:val="000216B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cs="Mangal"/>
      <w:i/>
      <w:iCs/>
      <w:color w:val="0F4761" w:themeColor="accent1" w:themeShade="BF"/>
      <w:kern w:val="2"/>
      <w:sz w:val="24"/>
      <w:szCs w:val="21"/>
      <w:lang w:val="en-IN" w:bidi="hi-IN"/>
      <w14:ligatures w14:val="standardContextual"/>
    </w:rPr>
  </w:style>
  <w:style w:type="character" w:customStyle="1" w:styleId="IntenseQuoteChar">
    <w:name w:val="Intense Quote Char"/>
    <w:basedOn w:val="DefaultParagraphFont"/>
    <w:link w:val="IntenseQuote"/>
    <w:uiPriority w:val="30"/>
    <w:rsid w:val="000216B5"/>
    <w:rPr>
      <w:rFonts w:cs="Mangal"/>
      <w:i/>
      <w:iCs/>
      <w:color w:val="0F4761" w:themeColor="accent1" w:themeShade="BF"/>
    </w:rPr>
  </w:style>
  <w:style w:type="character" w:styleId="IntenseReference">
    <w:name w:val="Intense Reference"/>
    <w:basedOn w:val="DefaultParagraphFont"/>
    <w:uiPriority w:val="32"/>
    <w:qFormat/>
    <w:rsid w:val="000216B5"/>
    <w:rPr>
      <w:b/>
      <w:bCs/>
      <w:smallCaps/>
      <w:color w:val="0F4761" w:themeColor="accent1" w:themeShade="BF"/>
      <w:spacing w:val="5"/>
    </w:rPr>
  </w:style>
  <w:style w:type="paragraph" w:styleId="FootnoteText">
    <w:name w:val="footnote text"/>
    <w:basedOn w:val="Normal"/>
    <w:link w:val="FootnoteTextChar"/>
    <w:uiPriority w:val="99"/>
    <w:semiHidden/>
    <w:unhideWhenUsed/>
    <w:rsid w:val="006D3B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3B4E"/>
    <w:rPr>
      <w:rFonts w:ascii="Georgia"/>
      <w:kern w:val="0"/>
      <w:sz w:val="20"/>
      <w:szCs w:val="20"/>
      <w:lang w:val="en-US" w:bidi="ar-SA"/>
      <w14:ligatures w14:val="none"/>
    </w:rPr>
  </w:style>
  <w:style w:type="character" w:styleId="FootnoteReference">
    <w:name w:val="footnote reference"/>
    <w:basedOn w:val="DefaultParagraphFont"/>
    <w:uiPriority w:val="99"/>
    <w:semiHidden/>
    <w:unhideWhenUsed/>
    <w:rsid w:val="006D3B4E"/>
    <w:rPr>
      <w:vertAlign w:val="superscript"/>
    </w:rPr>
  </w:style>
  <w:style w:type="paragraph" w:customStyle="1" w:styleId="p1">
    <w:name w:val="p1"/>
    <w:basedOn w:val="Normal"/>
    <w:rsid w:val="00CA7A91"/>
    <w:pPr>
      <w:spacing w:after="0" w:line="240" w:lineRule="auto"/>
    </w:pPr>
    <w:rPr>
      <w:rFonts w:ascii="Helvetica" w:eastAsia="Times New Roman" w:hAnsi="Helvetica" w:cs="Times New Roman"/>
      <w:color w:val="000000"/>
      <w:sz w:val="48"/>
      <w:szCs w:val="48"/>
      <w:lang w:val="en-IN" w:eastAsia="en-GB" w:bidi="hi-IN"/>
    </w:rPr>
  </w:style>
  <w:style w:type="paragraph" w:customStyle="1" w:styleId="p2">
    <w:name w:val="p2"/>
    <w:basedOn w:val="Normal"/>
    <w:rsid w:val="00CA7A91"/>
    <w:pPr>
      <w:spacing w:after="0" w:line="240" w:lineRule="auto"/>
    </w:pPr>
    <w:rPr>
      <w:rFonts w:ascii="Helvetica" w:eastAsia="Times New Roman" w:hAnsi="Helvetica" w:cs="Times New Roman"/>
      <w:color w:val="1F2846"/>
      <w:sz w:val="29"/>
      <w:szCs w:val="29"/>
      <w:lang w:val="en-IN" w:eastAsia="en-GB" w:bidi="hi-IN"/>
    </w:rPr>
  </w:style>
  <w:style w:type="paragraph" w:customStyle="1" w:styleId="p3">
    <w:name w:val="p3"/>
    <w:basedOn w:val="Normal"/>
    <w:rsid w:val="00CA7A91"/>
    <w:pPr>
      <w:spacing w:after="0" w:line="240" w:lineRule="auto"/>
    </w:pPr>
    <w:rPr>
      <w:rFonts w:ascii="Helvetica" w:eastAsia="Times New Roman" w:hAnsi="Helvetica" w:cs="Times New Roman"/>
      <w:color w:val="000000"/>
      <w:sz w:val="29"/>
      <w:szCs w:val="29"/>
      <w:lang w:val="en-IN" w:eastAsia="en-GB"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vijaishree@pandey.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yank.a@law.christuniversity.i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19</Pages>
  <Words>5417</Words>
  <Characters>31040</Characters>
  <Application>Microsoft Office Word</Application>
  <DocSecurity>0</DocSecurity>
  <Lines>517</Lines>
  <Paragraphs>148</Paragraphs>
  <ScaleCrop>false</ScaleCrop>
  <Company/>
  <LinksUpToDate>false</LinksUpToDate>
  <CharactersWithSpaces>36309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d93757</dc:creator>
  <cp:keywords/>
  <dc:description/>
  <cp:lastModifiedBy>d93757</cp:lastModifiedBy>
  <cp:revision>12</cp:revision>
  <dcterms:created xsi:type="dcterms:W3CDTF">2026-03-01T04:44:00Z</dcterms:created>
  <dcterms:modified xsi:type="dcterms:W3CDTF">2026-03-01T08:30:00Z</dcterms:modified>
</cp:coreProperties>
</file>