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Collective Bargaining Under the Industrial Relations Code, 2020: A Human Rights Regression?</w:t>
      </w:r>
    </w:p>
    <w:p w:rsidR="00000000" w:rsidDel="00000000" w:rsidP="00000000" w:rsidRDefault="00000000" w:rsidRPr="00000000" w14:paraId="00000002">
      <w:pPr>
        <w:numPr>
          <w:ilvl w:val="0"/>
          <w:numId w:val="2"/>
        </w:numPr>
        <w:spacing w:after="240" w:before="240" w:line="360" w:lineRule="auto"/>
        <w:ind w:left="720" w:hanging="36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Ms. Hifza Qamar</w:t>
      </w:r>
      <w:r w:rsidDel="00000000" w:rsidR="00000000" w:rsidRPr="00000000">
        <w:rPr>
          <w:rFonts w:ascii="Times New Roman" w:cs="Times New Roman" w:eastAsia="Times New Roman" w:hAnsi="Times New Roman"/>
          <w:i w:val="1"/>
          <w:iCs w:val="1"/>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0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w:t>
        <w:br w:type="textWrapping"/>
      </w:r>
      <w:r w:rsidDel="00000000" w:rsidR="00000000" w:rsidRPr="00000000">
        <w:rPr>
          <w:rFonts w:ascii="Times New Roman" w:cs="Times New Roman" w:eastAsia="Times New Roman" w:hAnsi="Times New Roman"/>
          <w:sz w:val="24"/>
          <w:szCs w:val="24"/>
          <w:rtl w:val="0"/>
        </w:rPr>
        <w:t xml:space="preserve">Collective Bargaining; Freedom of Association; Industrial Relations Code; Human Rights</w:t>
      </w:r>
    </w:p>
    <w:p w:rsidR="00000000" w:rsidDel="00000000" w:rsidP="00000000" w:rsidRDefault="00000000" w:rsidRPr="00000000" w14:paraId="0000000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r w:rsidDel="00000000" w:rsidR="00000000" w:rsidRPr="00000000">
        <w:rPr>
          <w:rtl w:val="0"/>
        </w:rPr>
      </w:r>
    </w:p>
    <w:p w:rsidR="00000000" w:rsidDel="00000000" w:rsidP="00000000" w:rsidRDefault="00000000" w:rsidRPr="00000000" w14:paraId="0000000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Industrial Relations Code, 2020, hereinafter IRC, represents a substantial reconfiguration of India’s legal framework governing trade unions, industrial disputes and collective bargaining. While IRC is framed as an effort to rationalise industrial relations and promote economic efficiency, several of its provisions raise concerns regarding the protection and effectiveness of collective bargaining rights. This paper argues that IRC results in a regression of collective bargaining by introducing higher thresholds for trade union recognition, expanding executive control over industrial action and imposing procedural requirements that materially weaken workers’ ability to engage in effective collective negotiation.</w:t>
      </w:r>
    </w:p>
    <w:p w:rsidR="00000000" w:rsidDel="00000000" w:rsidP="00000000" w:rsidRDefault="00000000" w:rsidRPr="00000000" w14:paraId="0000000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Situating collective bargaining within the constitutional guarantees of freedom of association and the right to dignified work, the paper undertakes a doctrinal analysis of the IRC in light of domestic constitutional principles and international labour standards. It further contends that treating collective bargaining as a substantive labour right need not conflict with legitimate business interests; rather, institutionalised collective bargaining can promote industrial harmony, reduce workplace disputes and provide greater certainty in labour relations, thereby supporting long-term economic stability and productivity. Particular attention is paid to India’s obligations as a member of the International Labour Organization and to the extent to which IRC aligns with or departs from internationally accepted norms relating to trade union autonomy and collective bargaining.</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paper further examines judicial trends to demonstrate the limited recognition of collective bargaining as an enforceable right within Indian jurisprudence, which has contributed to its vulnerability under contemporary legislative reform. By analysing IRC’s treatment of collective bargaining as a regulatory mechanism rather than a substantive labour right, the paper contends that IRC reflects a normative shift away from rights-oriented labour governance. It concludes by emphasising the need for an interpretative approach that preserves meaningful collective bargaining while balancing economic flexibility with constitutional guarantees and international human rights commitments.</w:t>
      </w:r>
    </w:p>
    <w:p w:rsidR="00000000" w:rsidDel="00000000" w:rsidP="00000000" w:rsidRDefault="00000000" w:rsidRPr="00000000" w14:paraId="00000008">
      <w:pPr>
        <w:pStyle w:val="Heading1"/>
        <w:keepNext w:val="0"/>
        <w:keepLines w:val="0"/>
        <w:spacing w:after="240" w:before="240" w:line="360" w:lineRule="auto"/>
        <w:jc w:val="center"/>
        <w:rPr>
          <w:rFonts w:ascii="Times New Roman" w:cs="Times New Roman" w:eastAsia="Times New Roman" w:hAnsi="Times New Roman"/>
          <w:sz w:val="24"/>
          <w:szCs w:val="24"/>
        </w:rPr>
      </w:pPr>
      <w:bookmarkStart w:colFirst="0" w:colLast="0" w:name="_pplq9nx8rolh" w:id="0"/>
      <w:bookmarkEnd w:id="0"/>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keepNext w:val="0"/>
        <w:keepLines w:val="0"/>
        <w:spacing w:after="240" w:before="240" w:line="360" w:lineRule="auto"/>
        <w:jc w:val="center"/>
        <w:rPr>
          <w:rFonts w:ascii="Times New Roman" w:cs="Times New Roman" w:eastAsia="Times New Roman" w:hAnsi="Times New Roman"/>
          <w:b w:val="1"/>
          <w:bCs w:val="1"/>
          <w:sz w:val="24"/>
          <w:szCs w:val="24"/>
        </w:rPr>
      </w:pPr>
      <w:bookmarkStart w:colFirst="0" w:colLast="0" w:name="_t28x6fruwgh" w:id="1"/>
      <w:bookmarkEnd w:id="1"/>
      <w:r w:rsidDel="00000000" w:rsidR="00000000" w:rsidRPr="00000000">
        <w:rPr>
          <w:rFonts w:ascii="Times New Roman" w:cs="Times New Roman" w:eastAsia="Times New Roman" w:hAnsi="Times New Roman"/>
          <w:b w:val="1"/>
          <w:bCs w:val="1"/>
          <w:sz w:val="24"/>
          <w:szCs w:val="24"/>
          <w:rtl w:val="0"/>
        </w:rPr>
        <w:t xml:space="preserve">Collective Bargaining Under the Industrial Relations Code, 2020: A Human Rights Regression?</w:t>
      </w:r>
    </w:p>
    <w:p w:rsidR="00000000" w:rsidDel="00000000" w:rsidP="00000000" w:rsidRDefault="00000000" w:rsidRPr="00000000" w14:paraId="0000002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Labour law has historically sought to address the structural imbalance inherent in employment relationships by enabling workers to act collectively rather than individually. Collective bargaining emerged as one of the most significant institutional responses to this imbalance, providing a mechanism through which workers can negotiate wages, working conditions and other terms of employment through organised representation. In many jurisdictions, collective bargaining is recognised not only as a mechanism of industrial regulation but also as an important component of freedom of association and democratic participation in the workplace.</w:t>
      </w:r>
    </w:p>
    <w:p w:rsidR="00000000" w:rsidDel="00000000" w:rsidP="00000000" w:rsidRDefault="00000000" w:rsidRPr="00000000" w14:paraId="0000002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India, however, the legal status of collective bargaining has historically remained ambiguous. While the labour law framework has facilitated collective negotiation through trade union recognition, conciliation mechanisms and binding settlements, Indian courts have consistently refrained from recognising collective bargaining as a constitutional or enforceable right. As a result, collective bargaining has functioned as an important but structurally vulnerable feature of Indian labour regulation.</w:t>
      </w:r>
    </w:p>
    <w:p w:rsidR="00000000" w:rsidDel="00000000" w:rsidP="00000000" w:rsidRDefault="00000000" w:rsidRPr="00000000" w14:paraId="0000002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enactment of the Industrial Relations Code, 2020, represents one of the most significant restructurings of India’s collective labour law framework in decades. By consolidating key statutes governing trade unions, industrial disputes and workplace regulation, the Code seeks to rationalise labour governance and promote industrial stability. At the same time, several provisions relating to union recognition, strike regulation and executive discretion raise questions regarding the continuing effectiveness of collective bargaining within the new legal regime.</w:t>
      </w:r>
    </w:p>
    <w:p w:rsidR="00000000" w:rsidDel="00000000" w:rsidP="00000000" w:rsidRDefault="00000000" w:rsidRPr="00000000" w14:paraId="0000002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examines whether the Industrial Relations Code, 2020 represents a restructuring of collective bargaining as a regulatory instrument or a regression in its protection as a substantive labour right. By situating collective bargaining within its conceptual foundations, international labour standards and the pre-existing Indian legal framework, the paper evaluates how the Code reshapes the institutional conditions under which collective bargaining operates. It argues that while the Code formally preserves mechanisms of collective bargaining, its structural design reflects a shift from a facilitative model of labour governance towards a more regulatory framework that may narrow the space for effective collective negotiation.</w:t>
      </w:r>
      <w:r w:rsidDel="00000000" w:rsidR="00000000" w:rsidRPr="00000000">
        <w:rPr>
          <w:rtl w:val="0"/>
        </w:rPr>
      </w:r>
    </w:p>
    <w:p w:rsidR="00000000" w:rsidDel="00000000" w:rsidP="00000000" w:rsidRDefault="00000000" w:rsidRPr="00000000" w14:paraId="0000002C">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Collective Bargaining: Conceptual and Normative Framework</w:t>
      </w:r>
    </w:p>
    <w:p w:rsidR="00000000" w:rsidDel="00000000" w:rsidP="00000000" w:rsidRDefault="00000000" w:rsidRPr="00000000" w14:paraId="0000002D">
      <w:pPr>
        <w:keepNext w:val="0"/>
        <w:keepLines w:val="0"/>
        <w:spacing w:after="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is a foundational institution of labour law, serving as the primary mechanism through which workers negotiate the terms and conditions of employment with employers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In its classical formulation, collective bargaining refers to the process through which organised workers and employers negotiate wages, working conditions, and other terms of employment through representative institutions such as trade unions.</w:t>
      </w:r>
      <w:r w:rsidDel="00000000" w:rsidR="00000000" w:rsidRPr="00000000">
        <w:rPr>
          <w:rtl w:val="0"/>
        </w:rPr>
      </w:r>
    </w:p>
    <w:p w:rsidR="00000000" w:rsidDel="00000000" w:rsidP="00000000" w:rsidRDefault="00000000" w:rsidRPr="00000000" w14:paraId="0000002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essence, collective bargaining is aimed at remedying the structural imbalance inherent in individual employment relationships, </w:t>
      </w:r>
      <w:r w:rsidDel="00000000" w:rsidR="00000000" w:rsidRPr="00000000">
        <w:rPr>
          <w:rFonts w:ascii="Times New Roman" w:cs="Times New Roman" w:eastAsia="Times New Roman" w:hAnsi="Times New Roman"/>
          <w:sz w:val="24"/>
          <w:szCs w:val="24"/>
          <w:rtl w:val="0"/>
        </w:rPr>
        <w:t xml:space="preserve">thereby enabling workers to consolidate their bargaining power</w:t>
      </w:r>
      <w:r w:rsidDel="00000000" w:rsidR="00000000" w:rsidRPr="00000000">
        <w:rPr>
          <w:rFonts w:ascii="Times New Roman" w:cs="Times New Roman" w:eastAsia="Times New Roman" w:hAnsi="Times New Roman"/>
          <w:sz w:val="24"/>
          <w:szCs w:val="24"/>
          <w:rtl w:val="0"/>
        </w:rPr>
        <w:t xml:space="preserve"> and to engage with management on a more balanced footing. </w:t>
      </w:r>
      <w:r w:rsidDel="00000000" w:rsidR="00000000" w:rsidRPr="00000000">
        <w:rPr>
          <w:rFonts w:ascii="Times New Roman" w:cs="Times New Roman" w:eastAsia="Times New Roman" w:hAnsi="Times New Roman"/>
          <w:sz w:val="24"/>
          <w:szCs w:val="24"/>
          <w:rtl w:val="0"/>
        </w:rPr>
        <w:t xml:space="preserve">This structural imbalance has long been recognised in labour law scholarship as the problem of “inequality of bargaining power”, which collective bargaining seeks to correct through collective worker representation</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Contrary to individual employment relations, often characterized by unequal economic power and asymmetry of information, collective bargaining provides an institutional framework where workers can play a substantive role in the creation of workplace norms</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development of collective bargaining represents a broader response to the failures of laissez-faire labour markets</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formal freedom of contract doctrine often proved ineffective in securing substantive fairness for employees</w:t>
      </w:r>
      <w:r w:rsidDel="00000000" w:rsidR="00000000" w:rsidRPr="00000000">
        <w:rPr>
          <w:rFonts w:ascii="Times New Roman" w:cs="Times New Roman" w:eastAsia="Times New Roman" w:hAnsi="Times New Roman"/>
          <w:sz w:val="24"/>
          <w:szCs w:val="24"/>
          <w:rtl w:val="0"/>
        </w:rPr>
        <w:t xml:space="preserve"> without collective mechanisms, </w:t>
      </w:r>
      <w:r w:rsidDel="00000000" w:rsidR="00000000" w:rsidRPr="00000000">
        <w:rPr>
          <w:rFonts w:ascii="Times New Roman" w:cs="Times New Roman" w:eastAsia="Times New Roman" w:hAnsi="Times New Roman"/>
          <w:sz w:val="24"/>
          <w:szCs w:val="24"/>
          <w:rtl w:val="0"/>
        </w:rPr>
        <w:t xml:space="preserve">resulting in exploitative working conditions and industrial unrest.</w:t>
      </w:r>
      <w:r w:rsidDel="00000000" w:rsidR="00000000" w:rsidRPr="00000000">
        <w:rPr>
          <w:rFonts w:ascii="Times New Roman" w:cs="Times New Roman" w:eastAsia="Times New Roman" w:hAnsi="Times New Roman"/>
          <w:sz w:val="24"/>
          <w:szCs w:val="24"/>
          <w:rtl w:val="0"/>
        </w:rPr>
        <w:t xml:space="preserve">. Collective bargaining did not develop in India on a statutory basis but came into being as a recognised practice through the establishment of trade unions, conciliation and collective settlements under labour legislation. As a result, its legitimacy has been dependent to a great extent on its practicality in maintaining industrial peace and helping to advance labour welfare and not necessarily on legislative approval.</w:t>
      </w:r>
    </w:p>
    <w:p w:rsidR="00000000" w:rsidDel="00000000" w:rsidP="00000000" w:rsidRDefault="00000000" w:rsidRPr="00000000" w14:paraId="0000003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has economic and rights-oriented purposes in industrial relations. From an economic perspective, it functions as a mechanism for determining wages, controlling working conditions and preventing industrial disputes. Formalised systems of bargaining allow employees and employers to negotiate adjustments in response to changing economic conditions  and reduce uncertainty and the likelihood of sudden industrial action. Collective bargaining contributes to industrial stability and fosters productivity in the long run through the predictable bargaining channels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has a central rights-oriented function in addition to its economic usefulness. It enables the workers to exercise collective voice, participate in decision-making processes that directly affect their working conditions and limit arbitrary managerial authority. The freedom of association gets substantive reality via collective bargaining which goes well beyond the formal union membership into a reality of interacting with employers. </w:t>
      </w:r>
      <w:r w:rsidDel="00000000" w:rsidR="00000000" w:rsidRPr="00000000">
        <w:rPr>
          <w:rFonts w:ascii="Times New Roman" w:cs="Times New Roman" w:eastAsia="Times New Roman" w:hAnsi="Times New Roman"/>
          <w:sz w:val="24"/>
          <w:szCs w:val="24"/>
          <w:rtl w:val="0"/>
        </w:rPr>
        <w:t xml:space="preserve">In this sense, collective bargaining represents a form of workplace or “industrial democracy”, enabling workers to participate in decisions that directly affect their working lives and conditions of employment</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apparent normative legitimacy of collective bargaining will depend to a large extent on how the collective bargaining is conceptualised in labour law. Collective bargaining has a substantive conception that sees it as an element of labour rights directly connected with freedom of association and the dignity of labour. </w:t>
      </w:r>
      <w:r w:rsidDel="00000000" w:rsidR="00000000" w:rsidRPr="00000000">
        <w:rPr>
          <w:rFonts w:ascii="Times New Roman" w:cs="Times New Roman" w:eastAsia="Times New Roman" w:hAnsi="Times New Roman"/>
          <w:sz w:val="24"/>
          <w:szCs w:val="24"/>
          <w:rtl w:val="0"/>
        </w:rPr>
        <w:t xml:space="preserve">The constitutional commitment to dignity and freedom of association, reflected in Articles 19(1)(c) and 21 of the Constitution of India</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reinforces the normative importance of collective labour organisation. </w:t>
      </w:r>
      <w:r w:rsidDel="00000000" w:rsidR="00000000" w:rsidRPr="00000000">
        <w:rPr>
          <w:rFonts w:ascii="Times New Roman" w:cs="Times New Roman" w:eastAsia="Times New Roman" w:hAnsi="Times New Roman"/>
          <w:sz w:val="24"/>
          <w:szCs w:val="24"/>
          <w:rtl w:val="0"/>
        </w:rPr>
        <w:t xml:space="preserve">From this perspective the place of law goes beyond the formal recognition of collective bargaining and into facilitating the circumstances under which it can be effectively exercised. In this regard, any legal prohibition</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which shapes recognition of trade unions, industrial action or </w:t>
      </w:r>
      <w:r w:rsidDel="00000000" w:rsidR="00000000" w:rsidRPr="00000000">
        <w:rPr>
          <w:rFonts w:ascii="Times New Roman" w:cs="Times New Roman" w:eastAsia="Times New Roman" w:hAnsi="Times New Roman"/>
          <w:sz w:val="24"/>
          <w:szCs w:val="24"/>
          <w:rtl w:val="0"/>
        </w:rPr>
        <w:t xml:space="preserve">collective negotiation</w:t>
      </w:r>
      <w:r w:rsidDel="00000000" w:rsidR="00000000" w:rsidRPr="00000000">
        <w:rPr>
          <w:rFonts w:ascii="Times New Roman" w:cs="Times New Roman" w:eastAsia="Times New Roman" w:hAnsi="Times New Roman"/>
          <w:sz w:val="24"/>
          <w:szCs w:val="24"/>
          <w:rtl w:val="0"/>
        </w:rPr>
        <w:t xml:space="preserve">, should be considered in relation to the effect on the </w:t>
      </w:r>
      <w:r w:rsidDel="00000000" w:rsidR="00000000" w:rsidRPr="00000000">
        <w:rPr>
          <w:rFonts w:ascii="Times New Roman" w:cs="Times New Roman" w:eastAsia="Times New Roman" w:hAnsi="Times New Roman"/>
          <w:sz w:val="24"/>
          <w:szCs w:val="24"/>
          <w:rtl w:val="0"/>
        </w:rPr>
        <w:t xml:space="preserve">core content of the right.</w:t>
      </w:r>
      <w:r w:rsidDel="00000000" w:rsidR="00000000" w:rsidRPr="00000000">
        <w:rPr>
          <w:rtl w:val="0"/>
        </w:rPr>
      </w:r>
    </w:p>
    <w:p w:rsidR="00000000" w:rsidDel="00000000" w:rsidP="00000000" w:rsidRDefault="00000000" w:rsidRPr="00000000" w14:paraId="0000003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regulatory conception on the other hand views collective bargaining as a tool primarily used to govern industrial relations. The collective bargaining in this framework is confined to the scope permitted by statute and it must be heavily monitored by the legislature and executive to attain policy goals like administrative efficiency or economic flexibility. Instead of collective bargaining being a normative right, it has become an approach to a process whose capacity and effectiveness can be restructured without meaningful rights-oriented scrutiny.</w:t>
      </w:r>
    </w:p>
    <w:p w:rsidR="00000000" w:rsidDel="00000000" w:rsidP="00000000" w:rsidRDefault="00000000" w:rsidRPr="00000000" w14:paraId="0000003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difference has far reaching consequences for labour governance. Whether held as substantive right, loss of collective bargaining raises constitutional and human rights concerns; whether deemed a regulation, it may be limited on policy-choice grounds. Notably, the acknowledgment of collective bargaining as the substantive labour right does not imply antagonism to the interests of business and economic advantage. Instead, institutionalised collective bargaining has the capacity to promote industrial peace, reduce workplace disputes and increase predictability of labour relations. Collective bargaining can align worker participation with sustainable business objectives by encouraging the negotiated flexibility instead of decisions made unilaterally.</w:t>
      </w:r>
    </w:p>
    <w:p w:rsidR="00000000" w:rsidDel="00000000" w:rsidP="00000000" w:rsidRDefault="00000000" w:rsidRPr="00000000" w14:paraId="0000003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normative and conceptual framework is a basis for evaluating the modern labour law reforms in India. </w:t>
      </w:r>
      <w:r w:rsidDel="00000000" w:rsidR="00000000" w:rsidRPr="00000000">
        <w:rPr>
          <w:rFonts w:ascii="Times New Roman" w:cs="Times New Roman" w:eastAsia="Times New Roman" w:hAnsi="Times New Roman"/>
          <w:sz w:val="24"/>
          <w:szCs w:val="24"/>
          <w:rtl w:val="0"/>
        </w:rPr>
        <w:t xml:space="preserve">Whether the Industrial Relations Code, 2020 strengthens or weakens collective bargaining depends not merely on the existence of bargaining mechanisms, but on the legal conception of collective bargaining itself.</w:t>
      </w:r>
      <w:r w:rsidDel="00000000" w:rsidR="00000000" w:rsidRPr="00000000">
        <w:rPr>
          <w:rFonts w:ascii="Times New Roman" w:cs="Times New Roman" w:eastAsia="Times New Roman" w:hAnsi="Times New Roman"/>
          <w:sz w:val="24"/>
          <w:szCs w:val="24"/>
          <w:rtl w:val="0"/>
        </w:rPr>
        <w:t xml:space="preserve"> This analysis therefore assesses the Code against this conceptual framework and as a result, questioning whether it achieves a rights-oriented approach or strengthens a regulatory model of labour governance.</w:t>
      </w:r>
    </w:p>
    <w:p w:rsidR="00000000" w:rsidDel="00000000" w:rsidP="00000000" w:rsidRDefault="00000000" w:rsidRPr="00000000" w14:paraId="00000036">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International Labour Organization Standards on Collective Bargaining</w:t>
      </w:r>
    </w:p>
    <w:p w:rsidR="00000000" w:rsidDel="00000000" w:rsidP="00000000" w:rsidRDefault="00000000" w:rsidRPr="00000000" w14:paraId="0000003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International Labour Organization (ILO) has been at the forefront in shaping the international normative framework dealing with collective bargaining. Its conventions, recommendations and supervisory mechanisms have always regarded collective bargaining as the fundamental component of freedom of association and as an essential element of democratic labour relations. Though </w:t>
      </w:r>
      <w:r w:rsidDel="00000000" w:rsidR="00000000" w:rsidRPr="00000000">
        <w:rPr>
          <w:rFonts w:ascii="Times New Roman" w:cs="Times New Roman" w:eastAsia="Times New Roman" w:hAnsi="Times New Roman"/>
          <w:sz w:val="24"/>
          <w:szCs w:val="24"/>
          <w:rtl w:val="0"/>
        </w:rPr>
        <w:t xml:space="preserve">India has not ratified all ILO conventions relating to collective bargaining, </w:t>
      </w:r>
      <w:r w:rsidDel="00000000" w:rsidR="00000000" w:rsidRPr="00000000">
        <w:rPr>
          <w:rFonts w:ascii="Times New Roman" w:cs="Times New Roman" w:eastAsia="Times New Roman" w:hAnsi="Times New Roman"/>
          <w:sz w:val="24"/>
          <w:szCs w:val="24"/>
          <w:rtl w:val="0"/>
        </w:rPr>
        <w:t xml:space="preserve">the ILO membership requires the state to respect, promote, and realise the required core principles of labour-rights, such as collective bargaining</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international instruments to be used are the </w:t>
      </w:r>
      <w:r w:rsidDel="00000000" w:rsidR="00000000" w:rsidRPr="00000000">
        <w:rPr>
          <w:rFonts w:ascii="Times New Roman" w:cs="Times New Roman" w:eastAsia="Times New Roman" w:hAnsi="Times New Roman"/>
          <w:i w:val="1"/>
          <w:iCs w:val="1"/>
          <w:sz w:val="24"/>
          <w:szCs w:val="24"/>
          <w:rtl w:val="0"/>
        </w:rPr>
        <w:t xml:space="preserve">Freedom of Association and Protection of the Right to Organise Convention, 1948</w:t>
      </w:r>
      <w:r w:rsidDel="00000000" w:rsidR="00000000" w:rsidRPr="00000000">
        <w:rPr>
          <w:rFonts w:ascii="Times New Roman" w:cs="Times New Roman" w:eastAsia="Times New Roman" w:hAnsi="Times New Roman"/>
          <w:sz w:val="24"/>
          <w:szCs w:val="24"/>
          <w:rtl w:val="0"/>
        </w:rPr>
        <w:t xml:space="preserve"> (No. 87)</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the Right to Organise and Collective Bargaining Convention, 1949</w:t>
      </w:r>
      <w:r w:rsidDel="00000000" w:rsidR="00000000" w:rsidRPr="00000000">
        <w:rPr>
          <w:rFonts w:ascii="Times New Roman" w:cs="Times New Roman" w:eastAsia="Times New Roman" w:hAnsi="Times New Roman"/>
          <w:sz w:val="24"/>
          <w:szCs w:val="24"/>
          <w:rtl w:val="0"/>
        </w:rPr>
        <w:t xml:space="preserve"> (No. 98). Convention No. 98 in particular requires the member states to make appropriate measures that are in accordance with national conditions in order to foster and promote the full development as well as utilisation of voluntary collective bargaining. </w:t>
      </w:r>
      <w:r w:rsidDel="00000000" w:rsidR="00000000" w:rsidRPr="00000000">
        <w:rPr>
          <w:rFonts w:ascii="Times New Roman" w:cs="Times New Roman" w:eastAsia="Times New Roman" w:hAnsi="Times New Roman"/>
          <w:sz w:val="24"/>
          <w:szCs w:val="24"/>
          <w:rtl w:val="0"/>
        </w:rPr>
        <w:t xml:space="preserve">Article 4 of Convention No. 98</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specifically requires member states to take measures appropriate to national conditions to encourage and promote voluntary collective bargaining between employers and workers’ organisations. </w:t>
      </w:r>
      <w:r w:rsidDel="00000000" w:rsidR="00000000" w:rsidRPr="00000000">
        <w:rPr>
          <w:rFonts w:ascii="Times New Roman" w:cs="Times New Roman" w:eastAsia="Times New Roman" w:hAnsi="Times New Roman"/>
          <w:sz w:val="24"/>
          <w:szCs w:val="24"/>
          <w:rtl w:val="0"/>
        </w:rPr>
        <w:t xml:space="preserve">The supervisory bodies of the ILO have repeatedly explained such obligations as going beyond formal recognition and stating the need to make sure that collective bargaining is exercised effectively in practice</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been noted that although states may also seek to regulate collective bargaining with a view to protecting public order or economic stability, this regulation should not undermine the core content of the entitlement. Any limitation on the recognition, representativeness or industrial action by the trade-union is however allowable to the extent that it is reasonable, proportionate and does not cause collective bargaining to be ineffective. Excessive procedural requirements, executive discretion or a limitation set on the ability to engage workers in a meaningful negotiation have been considered inconsistent with Convention No. 98</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by the ILO.  </w:t>
      </w:r>
    </w:p>
    <w:p w:rsidR="00000000" w:rsidDel="00000000" w:rsidP="00000000" w:rsidRDefault="00000000" w:rsidRPr="00000000" w14:paraId="0000004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Notably, the ILO has rejected the assumption that collective bargaining is inherently hostile to the economy or business interests. Quite the opposite, ILO has continually put emphasis on the importance of institutionalised collective bargaining in bringing about industrial peace, reducing labour conflicts and developing cooperative labour-management relations. </w:t>
      </w:r>
      <w:r w:rsidDel="00000000" w:rsidR="00000000" w:rsidRPr="00000000">
        <w:rPr>
          <w:rFonts w:ascii="Times New Roman" w:cs="Times New Roman" w:eastAsia="Times New Roman" w:hAnsi="Times New Roman"/>
          <w:sz w:val="24"/>
          <w:szCs w:val="24"/>
          <w:rtl w:val="0"/>
        </w:rPr>
        <w:t xml:space="preserve">The collective bargaining discussed by the International Labour Organization (ILO) Global Commission on the Future of Work</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has also found the ability to balance the increased flexibility with fairness through collective bargaining as an institution that is able to stabilize the situation in the economically-transitioning period.  </w:t>
      </w:r>
    </w:p>
    <w:p w:rsidR="00000000" w:rsidDel="00000000" w:rsidP="00000000" w:rsidRDefault="00000000" w:rsidRPr="00000000" w14:paraId="0000004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charter member of ILO, India has traditionally restated its adherence to the essence of the freedom of association and collective bargaining, despite formal non-commitment to Convention No. 87. Indian courts</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have also repeatedly referred to ILO conventions and these principles as persuasive interpretative tools in the interpretation of constitutional labour rights and </w:t>
      </w:r>
      <w:r w:rsidDel="00000000" w:rsidR="00000000" w:rsidRPr="00000000">
        <w:rPr>
          <w:rFonts w:ascii="Times New Roman" w:cs="Times New Roman" w:eastAsia="Times New Roman" w:hAnsi="Times New Roman"/>
          <w:sz w:val="24"/>
          <w:szCs w:val="24"/>
          <w:rtl w:val="0"/>
        </w:rPr>
        <w:t xml:space="preserve">thereby</w:t>
      </w:r>
      <w:r w:rsidDel="00000000" w:rsidR="00000000" w:rsidRPr="00000000">
        <w:rPr>
          <w:rFonts w:ascii="Times New Roman" w:cs="Times New Roman" w:eastAsia="Times New Roman" w:hAnsi="Times New Roman"/>
          <w:sz w:val="24"/>
          <w:szCs w:val="24"/>
          <w:rtl w:val="0"/>
        </w:rPr>
        <w:t xml:space="preserve"> strengthens the applicability of ILO standards</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Fonts w:ascii="Times New Roman" w:cs="Times New Roman" w:eastAsia="Times New Roman" w:hAnsi="Times New Roman"/>
          <w:sz w:val="24"/>
          <w:szCs w:val="24"/>
          <w:rtl w:val="0"/>
        </w:rPr>
        <w:t xml:space="preserve"> as yardsticks against domestic legislation on labour.  </w:t>
      </w:r>
    </w:p>
    <w:p w:rsidR="00000000" w:rsidDel="00000000" w:rsidP="00000000" w:rsidRDefault="00000000" w:rsidRPr="00000000" w14:paraId="0000004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on this normative backdrop that the review of the Industrial Relations Code (IRC), 2020 should not only look at whether or not collective bargaining has been formally authorized by statute but whether or not the law allows collective bargaining to be exercised effectively. In cases where the collective bargaining has been restructured by domestic labour reforms in a way that undermines the independence of trade-unions, limits effective negotiation or concentrates too much discretion within the executive, there are concerns as to how such reforms are consistent with international standards on labour. This analysis therefore looks at the IRC as a legislative framework in regards to these ILO principles to determine whether the IRC is compliant or not depending on the international labour commitments of India.  </w:t>
      </w:r>
    </w:p>
    <w:p w:rsidR="00000000" w:rsidDel="00000000" w:rsidP="00000000" w:rsidRDefault="00000000" w:rsidRPr="00000000" w14:paraId="00000045">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Collective Bargaining in Indian Labour Law Before the Industrial Relations Code, 2020.  </w:t>
      </w:r>
    </w:p>
    <w:p w:rsidR="00000000" w:rsidDel="00000000" w:rsidP="00000000" w:rsidRDefault="00000000" w:rsidRPr="00000000" w14:paraId="0000004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was not a recognised statutory or constitutional right in the Indian labour law before it was codified in the Industrial Relations Code, 2020. Rather, collective bargaining was governed by the facilitative legal system built (via a blend of legal statutes, bureaucratic processes and legal interpretation) and rendering its protection indirect and contingent rather than explicit or rights-oriented.  </w:t>
      </w:r>
    </w:p>
    <w:p w:rsidR="00000000" w:rsidDel="00000000" w:rsidP="00000000" w:rsidRDefault="00000000" w:rsidRPr="00000000" w14:paraId="0000004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statutory acts which controlled the collective labour relations were the Trade Unions Act, 1926</w:t>
      </w:r>
      <w:r w:rsidDel="00000000" w:rsidR="00000000" w:rsidRPr="00000000">
        <w:rPr>
          <w:rFonts w:ascii="Times New Roman" w:cs="Times New Roman" w:eastAsia="Times New Roman" w:hAnsi="Times New Roman"/>
          <w:sz w:val="24"/>
          <w:szCs w:val="24"/>
          <w:vertAlign w:val="superscript"/>
        </w:rPr>
        <w:footnoteReference w:customMarkFollows="0" w:id="17"/>
      </w:r>
      <w:r w:rsidDel="00000000" w:rsidR="00000000" w:rsidRPr="00000000">
        <w:rPr>
          <w:rFonts w:ascii="Times New Roman" w:cs="Times New Roman" w:eastAsia="Times New Roman" w:hAnsi="Times New Roman"/>
          <w:sz w:val="24"/>
          <w:szCs w:val="24"/>
          <w:rtl w:val="0"/>
        </w:rPr>
        <w:t xml:space="preserve"> and the Industrial Disputes Act, 1947</w:t>
      </w:r>
      <w:r w:rsidDel="00000000" w:rsidR="00000000" w:rsidRPr="00000000">
        <w:rPr>
          <w:rFonts w:ascii="Times New Roman" w:cs="Times New Roman" w:eastAsia="Times New Roman" w:hAnsi="Times New Roman"/>
          <w:sz w:val="24"/>
          <w:szCs w:val="24"/>
          <w:vertAlign w:val="superscript"/>
        </w:rPr>
        <w:footnoteReference w:customMarkFollows="0" w:id="18"/>
      </w:r>
      <w:r w:rsidDel="00000000" w:rsidR="00000000" w:rsidRPr="00000000">
        <w:rPr>
          <w:rFonts w:ascii="Times New Roman" w:cs="Times New Roman" w:eastAsia="Times New Roman" w:hAnsi="Times New Roman"/>
          <w:sz w:val="24"/>
          <w:szCs w:val="24"/>
          <w:rtl w:val="0"/>
        </w:rPr>
        <w:t xml:space="preserve">. The</w:t>
      </w:r>
      <w:r w:rsidDel="00000000" w:rsidR="00000000" w:rsidRPr="00000000">
        <w:rPr>
          <w:rFonts w:ascii="Times New Roman" w:cs="Times New Roman" w:eastAsia="Times New Roman" w:hAnsi="Times New Roman"/>
          <w:sz w:val="24"/>
          <w:szCs w:val="24"/>
          <w:rtl w:val="0"/>
        </w:rPr>
        <w:t xml:space="preserve"> Trade Unions Act provided legal recognition to trade unions and granted limited immunities in relation to collective action, thereby enabling workers to organise and bargain collectively.</w:t>
      </w:r>
      <w:r w:rsidDel="00000000" w:rsidR="00000000" w:rsidRPr="00000000">
        <w:rPr>
          <w:rFonts w:ascii="Times New Roman" w:cs="Times New Roman" w:eastAsia="Times New Roman" w:hAnsi="Times New Roman"/>
          <w:sz w:val="24"/>
          <w:szCs w:val="24"/>
          <w:rtl w:val="0"/>
        </w:rPr>
        <w:t xml:space="preserve"> The Industrial Disputes Act, though in principle limited to dispute resolution, put in place institutional support for collective bargaining through conciliation proceedings, voluntary arbitration, works committees and institutional, through law, recognition, of collective settlements.  </w:t>
      </w:r>
    </w:p>
    <w:p w:rsidR="00000000" w:rsidDel="00000000" w:rsidP="00000000" w:rsidRDefault="00000000" w:rsidRPr="00000000" w14:paraId="0000004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Industrial Disputes Act, settlements achieved in collective bargaining were accorded legal force and especially those settled in the process of conciliation</w:t>
      </w:r>
      <w:r w:rsidDel="00000000" w:rsidR="00000000" w:rsidRPr="00000000">
        <w:rPr>
          <w:rFonts w:ascii="Times New Roman" w:cs="Times New Roman" w:eastAsia="Times New Roman" w:hAnsi="Times New Roman"/>
          <w:sz w:val="24"/>
          <w:szCs w:val="24"/>
          <w:vertAlign w:val="superscript"/>
        </w:rPr>
        <w:footnoteReference w:customMarkFollows="0" w:id="19"/>
      </w:r>
      <w:r w:rsidDel="00000000" w:rsidR="00000000" w:rsidRPr="00000000">
        <w:rPr>
          <w:rFonts w:ascii="Times New Roman" w:cs="Times New Roman" w:eastAsia="Times New Roman" w:hAnsi="Times New Roman"/>
          <w:sz w:val="24"/>
          <w:szCs w:val="24"/>
          <w:rtl w:val="0"/>
        </w:rPr>
        <w:t xml:space="preserve">. It was recognized in judicial rulings that such settlements were a favored form of industrial settlements and that they led to industrial peace. In </w:t>
      </w:r>
      <w:r w:rsidDel="00000000" w:rsidR="00000000" w:rsidRPr="00000000">
        <w:rPr>
          <w:rFonts w:ascii="Times New Roman" w:cs="Times New Roman" w:eastAsia="Times New Roman" w:hAnsi="Times New Roman"/>
          <w:i w:val="1"/>
          <w:iCs w:val="1"/>
          <w:sz w:val="24"/>
          <w:szCs w:val="24"/>
          <w:rtl w:val="0"/>
        </w:rPr>
        <w:t xml:space="preserve">Workmen of Dharampal Premchand v. Dharampal Premchand</w:t>
      </w:r>
      <w:r w:rsidDel="00000000" w:rsidR="00000000" w:rsidRPr="00000000">
        <w:rPr>
          <w:rFonts w:ascii="Times New Roman" w:cs="Times New Roman" w:eastAsia="Times New Roman" w:hAnsi="Times New Roman"/>
          <w:i w:val="1"/>
          <w:iCs w:val="1"/>
          <w:sz w:val="24"/>
          <w:szCs w:val="24"/>
          <w:vertAlign w:val="superscript"/>
        </w:rPr>
        <w:footnoteReference w:customMarkFollows="0" w:id="20"/>
      </w:r>
      <w:r w:rsidDel="00000000" w:rsidR="00000000" w:rsidRPr="00000000">
        <w:rPr>
          <w:rFonts w:ascii="Times New Roman" w:cs="Times New Roman" w:eastAsia="Times New Roman" w:hAnsi="Times New Roman"/>
          <w:sz w:val="24"/>
          <w:szCs w:val="24"/>
          <w:rtl w:val="0"/>
        </w:rPr>
        <w:t xml:space="preserve">, the Supreme Court through Dharampal Premchand gave due credit to collective bargaining as a valid and preferable method in solving industrial disputes and highlighting the importance of negotiated settlement in industrial relations. This recognition was however in functional terms and not rights oriented.  </w:t>
      </w:r>
    </w:p>
    <w:p w:rsidR="00000000" w:rsidDel="00000000" w:rsidP="00000000" w:rsidRDefault="00000000" w:rsidRPr="00000000" w14:paraId="0000004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spite of such a facilitative framework, Indian courts had continuously refused to recognize collective bargaining as a fundamental or enforceable right. In </w:t>
      </w:r>
      <w:r w:rsidDel="00000000" w:rsidR="00000000" w:rsidRPr="00000000">
        <w:rPr>
          <w:rFonts w:ascii="Times New Roman" w:cs="Times New Roman" w:eastAsia="Times New Roman" w:hAnsi="Times New Roman"/>
          <w:i w:val="1"/>
          <w:iCs w:val="1"/>
          <w:sz w:val="24"/>
          <w:szCs w:val="24"/>
          <w:rtl w:val="0"/>
        </w:rPr>
        <w:t xml:space="preserve">All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India Bank Employees’ Association v. National Industrial Tribunal</w:t>
      </w:r>
      <w:r w:rsidDel="00000000" w:rsidR="00000000" w:rsidRPr="00000000">
        <w:rPr>
          <w:rFonts w:ascii="Times New Roman" w:cs="Times New Roman" w:eastAsia="Times New Roman" w:hAnsi="Times New Roman"/>
          <w:i w:val="1"/>
          <w:iCs w:val="1"/>
          <w:sz w:val="24"/>
          <w:szCs w:val="24"/>
          <w:vertAlign w:val="superscript"/>
        </w:rPr>
        <w:footnoteReference w:customMarkFollows="0" w:id="21"/>
      </w:r>
      <w:r w:rsidDel="00000000" w:rsidR="00000000" w:rsidRPr="00000000">
        <w:rPr>
          <w:rFonts w:ascii="Times New Roman" w:cs="Times New Roman" w:eastAsia="Times New Roman" w:hAnsi="Times New Roman"/>
          <w:sz w:val="24"/>
          <w:szCs w:val="24"/>
          <w:rtl w:val="0"/>
        </w:rPr>
        <w:t xml:space="preserve">, the</w:t>
      </w:r>
      <w:r w:rsidDel="00000000" w:rsidR="00000000" w:rsidRPr="00000000">
        <w:rPr>
          <w:rFonts w:ascii="Times New Roman" w:cs="Times New Roman" w:eastAsia="Times New Roman" w:hAnsi="Times New Roman"/>
          <w:sz w:val="24"/>
          <w:szCs w:val="24"/>
          <w:rtl w:val="0"/>
        </w:rPr>
        <w:t xml:space="preserve"> Supreme Court held that although the right to form associations is safeguarded under Article 19(1)(c) of the Constitution, no fundamental right to pursue the purpose of these associations such as collective bargaining or strikes. This argument further influenced the further judicial approach to collective labour rights.  </w:t>
      </w:r>
    </w:p>
    <w:p w:rsidR="00000000" w:rsidDel="00000000" w:rsidP="00000000" w:rsidRDefault="00000000" w:rsidRPr="00000000" w14:paraId="0000004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stance was not altered later by the decisions made where the interests of collective action and the right to association are separated. Although courts had on occasions come to recognise that collective bargaining plays a significant role in ensuring harmony in the industries</w:t>
      </w:r>
      <w:r w:rsidDel="00000000" w:rsidR="00000000" w:rsidRPr="00000000">
        <w:rPr>
          <w:rFonts w:ascii="Times New Roman" w:cs="Times New Roman" w:eastAsia="Times New Roman" w:hAnsi="Times New Roman"/>
          <w:sz w:val="24"/>
          <w:szCs w:val="24"/>
          <w:vertAlign w:val="superscript"/>
        </w:rPr>
        <w:footnoteReference w:customMarkFollows="0" w:id="22"/>
      </w:r>
      <w:r w:rsidDel="00000000" w:rsidR="00000000" w:rsidRPr="00000000">
        <w:rPr>
          <w:rFonts w:ascii="Times New Roman" w:cs="Times New Roman" w:eastAsia="Times New Roman" w:hAnsi="Times New Roman"/>
          <w:sz w:val="24"/>
          <w:szCs w:val="24"/>
          <w:rtl w:val="0"/>
        </w:rPr>
        <w:t xml:space="preserve">, they had not taken that necessary step of considering it as part and parcel of constitutional freedom of association. As a result, collective bargaining was still left at the mercy of statutory design and executive decision making as opposed to constitutional or human rights postulates.  </w:t>
      </w:r>
    </w:p>
    <w:p w:rsidR="00000000" w:rsidDel="00000000" w:rsidP="00000000" w:rsidRDefault="00000000" w:rsidRPr="00000000" w14:paraId="0000004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judicial posture had significant implications.</w:t>
      </w:r>
      <w:r w:rsidDel="00000000" w:rsidR="00000000" w:rsidRPr="00000000">
        <w:rPr>
          <w:rFonts w:ascii="Times New Roman" w:cs="Times New Roman" w:eastAsia="Times New Roman" w:hAnsi="Times New Roman"/>
          <w:sz w:val="24"/>
          <w:szCs w:val="24"/>
          <w:rtl w:val="0"/>
        </w:rPr>
        <w:t xml:space="preserve"> By treating collective bargaining as a statutory privilege rather than a constitutional right, courts left its protection largely dependent on legislative design. The ability of labour to bargain collectively and to do so effectively was cast at the mercy of a legislative restructuring. The absence of strong rights-oriented protection and thus, the arbitration of the changes in trade-union recognition, dispute-resolution mechanisms or industrial action can be justified as matters of policy without strong constitutional examination.  </w:t>
      </w:r>
    </w:p>
    <w:p w:rsidR="00000000" w:rsidDel="00000000" w:rsidP="00000000" w:rsidRDefault="00000000" w:rsidRPr="00000000" w14:paraId="0000004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Meanwhile, the pre-IRC was based on a particular assumption that collective bargaining, though not a right, was good for industrial relations. Negotiated settlements were widely accepted in courts and discouraged adversarial litigation as judges acknowledged that collective bargaining was a more stable and consensual approach to resolving litigation. This gave a paradoxical state of affairs whereby across the board collective bargaining could be enforced but with only limited legal protection.  </w:t>
      </w:r>
    </w:p>
    <w:p w:rsidR="00000000" w:rsidDel="00000000" w:rsidP="00000000" w:rsidRDefault="00000000" w:rsidRPr="00000000" w14:paraId="0000004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statutory facilitation and judicial restraint is the combination of which the Industrial Relations Code, 2020 should be evaluated. Collective bargaining was not removed by the pre-IRC regime, nor was it firmly established as a right; it rather just maintained collective bargaining in a frail institutional framework that could be easily changed in response to legislative reforms. It is crucial to recognise this existing vulnerability as a key to gauging whether the IRC only restructures labour regulation or is one of the factors that may lead to a decline in the protection of collective bargaining.</w:t>
      </w:r>
      <w:r w:rsidDel="00000000" w:rsidR="00000000" w:rsidRPr="00000000">
        <w:rPr>
          <w:rtl w:val="0"/>
        </w:rPr>
      </w:r>
    </w:p>
    <w:p w:rsidR="00000000" w:rsidDel="00000000" w:rsidP="00000000" w:rsidRDefault="00000000" w:rsidRPr="00000000" w14:paraId="00000050">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The Industrial Relations Code, 2020, and Its Impact on Collective Bargaining</w:t>
      </w:r>
    </w:p>
    <w:p w:rsidR="00000000" w:rsidDel="00000000" w:rsidP="00000000" w:rsidRDefault="00000000" w:rsidRPr="00000000" w14:paraId="0000005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Code replaces three principal statutes governing industrial relations: the Trade Unions Act, 1926; the Industrial Employment (Standing Orders) Act, 1946; and the Industrial Disputes Act, 1947.</w:t>
      </w:r>
      <w:r w:rsidDel="00000000" w:rsidR="00000000" w:rsidRPr="00000000">
        <w:rPr>
          <w:rFonts w:ascii="Times New Roman" w:cs="Times New Roman" w:eastAsia="Times New Roman" w:hAnsi="Times New Roman"/>
          <w:sz w:val="24"/>
          <w:szCs w:val="24"/>
          <w:vertAlign w:val="superscript"/>
        </w:rPr>
        <w:footnoteReference w:customMarkFollows="0" w:id="23"/>
      </w:r>
      <w:r w:rsidDel="00000000" w:rsidR="00000000" w:rsidRPr="00000000">
        <w:rPr>
          <w:rFonts w:ascii="Times New Roman" w:cs="Times New Roman" w:eastAsia="Times New Roman" w:hAnsi="Times New Roman"/>
          <w:sz w:val="24"/>
          <w:szCs w:val="24"/>
          <w:rtl w:val="0"/>
        </w:rPr>
        <w:t xml:space="preserve">. Although the aforementioned purpose of the Code is to simplify labour regulation and foster ease of doing business, its institutional design significantly reshapes the environment within which collective bargaining operates.  </w:t>
      </w:r>
    </w:p>
    <w:p w:rsidR="00000000" w:rsidDel="00000000" w:rsidP="00000000" w:rsidRDefault="00000000" w:rsidRPr="00000000" w14:paraId="00000052">
      <w:pPr>
        <w:numPr>
          <w:ilvl w:val="0"/>
          <w:numId w:val="1"/>
        </w:numPr>
        <w:spacing w:after="240" w:before="24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recognition and representativeness of trade unions.  </w:t>
      </w:r>
    </w:p>
    <w:p w:rsidR="00000000" w:rsidDel="00000000" w:rsidP="00000000" w:rsidRDefault="00000000" w:rsidRPr="00000000" w14:paraId="0000005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the amendments that the IRC has made, there is the idea of negotiating unions and negotiating councils. According to the Code, a trade union should secure the support of at least half the workers of an establishment in order to be declared as the only negotiating union</w:t>
      </w:r>
      <w:r w:rsidDel="00000000" w:rsidR="00000000" w:rsidRPr="00000000">
        <w:rPr>
          <w:rFonts w:ascii="Times New Roman" w:cs="Times New Roman" w:eastAsia="Times New Roman" w:hAnsi="Times New Roman"/>
          <w:sz w:val="24"/>
          <w:szCs w:val="24"/>
          <w:vertAlign w:val="superscript"/>
        </w:rPr>
        <w:footnoteReference w:customMarkFollows="0" w:id="24"/>
      </w:r>
      <w:r w:rsidDel="00000000" w:rsidR="00000000" w:rsidRPr="00000000">
        <w:rPr>
          <w:rFonts w:ascii="Times New Roman" w:cs="Times New Roman" w:eastAsia="Times New Roman" w:hAnsi="Times New Roman"/>
          <w:sz w:val="24"/>
          <w:szCs w:val="24"/>
          <w:rtl w:val="0"/>
        </w:rPr>
        <w:t xml:space="preserve">. In cases where no union meets this threshold, a negotiating council comprising representatives of unions securing at least twenty per cent support may be constituted.</w:t>
      </w:r>
      <w:r w:rsidDel="00000000" w:rsidR="00000000" w:rsidRPr="00000000">
        <w:rPr>
          <w:rtl w:val="0"/>
        </w:rPr>
      </w:r>
    </w:p>
    <w:p w:rsidR="00000000" w:rsidDel="00000000" w:rsidP="00000000" w:rsidRDefault="00000000" w:rsidRPr="00000000" w14:paraId="0000005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being instituted with the purport of eliminating the multiplicity of unions and encouraging the orderly participation of an individual in collective bargaining, the 51% threshold might restrict the capacity of fragmented (or smaller) unions to engage meaningfully in collective bargaining. The attainment of majority status may not be structurally easy in a place where there is a proliferation of workforce representation in the various unions. The practical implication is a shrinking of the (bargaining) space, which may result in a concentration of the representation in such a way that it hampers the plural voices in the workplace.  </w:t>
      </w:r>
    </w:p>
    <w:p w:rsidR="00000000" w:rsidDel="00000000" w:rsidP="00000000" w:rsidRDefault="00000000" w:rsidRPr="00000000" w14:paraId="0000005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rights-oriented perspective, these thresholds are to be evaluated based not only upon the administrative efficiency of a threshold, but also upon the effect they have on effective worker participation. International standards may but definitely must not be so burdensome as to make collective bargaining become impractical in reality. Thus, the mode of recognition used by the IRC indicates a transformation in the representational models to more controlled design, with consolidation, rather than inclusiveness, privileged.  </w:t>
      </w:r>
    </w:p>
    <w:p w:rsidR="00000000" w:rsidDel="00000000" w:rsidP="00000000" w:rsidRDefault="00000000" w:rsidRPr="00000000" w14:paraId="00000056">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numPr>
          <w:ilvl w:val="0"/>
          <w:numId w:val="1"/>
        </w:numPr>
        <w:spacing w:after="240" w:before="24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Control of Strikes and Industrial Action.  </w:t>
      </w:r>
    </w:p>
    <w:p w:rsidR="00000000" w:rsidDel="00000000" w:rsidP="00000000" w:rsidRDefault="00000000" w:rsidRPr="00000000" w14:paraId="0000005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IRC also reforms the laws concerning strikes. It extends the notice requirements to any industrial establishment, compared to only those that are ranked to be under the public utility services. Strikes in the midst of conciliation processes or even within a planning time span are not allowed and the workers must give warning of the strike.  </w:t>
      </w:r>
    </w:p>
    <w:p w:rsidR="00000000" w:rsidDel="00000000" w:rsidP="00000000" w:rsidRDefault="00000000" w:rsidRPr="00000000" w14:paraId="0000005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Strikes are closely connected with collective bargaining; they are used as the tool to ensure economic pressure on the workers to support negotiation. Even though, the right to strike has not been enacted as a fundamental right in the jurisprudence of the Indian constitution, the regulation affects the effectiveness of collective bargaining directly. A longer notice period and increased time limiting periods can decrease the strategic power of the workers which can change the power dynamic of the negotiation</w:t>
      </w:r>
      <w:r w:rsidDel="00000000" w:rsidR="00000000" w:rsidRPr="00000000">
        <w:rPr>
          <w:rFonts w:ascii="Times New Roman" w:cs="Times New Roman" w:eastAsia="Times New Roman" w:hAnsi="Times New Roman"/>
          <w:sz w:val="24"/>
          <w:szCs w:val="24"/>
          <w:vertAlign w:val="superscript"/>
        </w:rPr>
        <w:footnoteReference w:customMarkFollows="0" w:id="2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terms of regulation, these provisions can be explained by the need to facilitate stability of industries. But, viewed through the prism of the substantive conception of collective bargaining formulated above, one may ask whether such restrictions negatively affect the ability of workers to negotiate effectively any more than they do so in a disproportionate manner. Collective bargaining may also be turned into a mere ritual that has no substantial bargaining power when industrial action has been considerably proceduralised and exposed to widespread executive control.  </w:t>
      </w:r>
    </w:p>
    <w:p w:rsidR="00000000" w:rsidDel="00000000" w:rsidP="00000000" w:rsidRDefault="00000000" w:rsidRPr="00000000" w14:paraId="0000005B">
      <w:pPr>
        <w:numPr>
          <w:ilvl w:val="0"/>
          <w:numId w:val="1"/>
        </w:numPr>
        <w:spacing w:after="240" w:before="24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Executive Discretion and Resolution of disputes.  </w:t>
      </w:r>
    </w:p>
    <w:p w:rsidR="00000000" w:rsidDel="00000000" w:rsidP="00000000" w:rsidRDefault="00000000" w:rsidRPr="00000000" w14:paraId="0000005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IRC will also improve the discretion of the executive in issues concerning industrial disputes, such as the reference of disputes to adjudication. The very fact that conciliation and state-coordinated dispute resolution systems remain central strengthens a paradigm, according to which the state continues to have substantial influence over the way industrial disputes develop.  </w:t>
      </w:r>
    </w:p>
    <w:p w:rsidR="00000000" w:rsidDel="00000000" w:rsidP="00000000" w:rsidRDefault="00000000" w:rsidRPr="00000000" w14:paraId="0000005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state mediation on a dispute resolution is not necessarily contrary to collective bargaining, overreliance on the executive intervention can warp the focus on the voluntary bargaining to the management through administration</w:t>
      </w:r>
      <w:r w:rsidDel="00000000" w:rsidR="00000000" w:rsidRPr="00000000">
        <w:rPr>
          <w:rFonts w:ascii="Times New Roman" w:cs="Times New Roman" w:eastAsia="Times New Roman" w:hAnsi="Times New Roman"/>
          <w:sz w:val="24"/>
          <w:szCs w:val="24"/>
          <w:vertAlign w:val="superscript"/>
        </w:rPr>
        <w:footnoteReference w:customMarkFollows="0" w:id="26"/>
      </w:r>
      <w:r w:rsidDel="00000000" w:rsidR="00000000" w:rsidRPr="00000000">
        <w:rPr>
          <w:rFonts w:ascii="Times New Roman" w:cs="Times New Roman" w:eastAsia="Times New Roman" w:hAnsi="Times New Roman"/>
          <w:sz w:val="24"/>
          <w:szCs w:val="24"/>
          <w:rtl w:val="0"/>
        </w:rPr>
        <w:t xml:space="preserve">. Within such a paradigm, the whole process of collective bargaining does not perform merely as a worker-generated mechanism, but it rather becomes institutionalized as part of a regulative system that is based on the strategy of administrative dispute management.  </w:t>
      </w:r>
    </w:p>
    <w:p w:rsidR="00000000" w:rsidDel="00000000" w:rsidP="00000000" w:rsidRDefault="00000000" w:rsidRPr="00000000" w14:paraId="0000005E">
      <w:pPr>
        <w:numPr>
          <w:ilvl w:val="0"/>
          <w:numId w:val="1"/>
        </w:numPr>
        <w:spacing w:after="240" w:before="24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Rights-to-Regulation Analysis.  </w:t>
      </w:r>
    </w:p>
    <w:p w:rsidR="00000000" w:rsidDel="00000000" w:rsidP="00000000" w:rsidRDefault="00000000" w:rsidRPr="00000000" w14:paraId="0000005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combination of the structural features of the IRC suggests a recalibration of collective labour relations. The Code does not eliminate the collective bargaining, actually, it aids the negotiating unions and councils formally. Its legal framework, however, lays more emphasis on procedural control, representational thresholds and controlled industrial action. Collective bargaining is therefore preserved in form but reshaped in substance.  </w:t>
      </w:r>
    </w:p>
    <w:p w:rsidR="00000000" w:rsidDel="00000000" w:rsidP="00000000" w:rsidRDefault="00000000" w:rsidRPr="00000000" w14:paraId="0000006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metamorphosis can be best explained in the rights-to-regulation perspective. Within a substantive notion, the law is aimed at making meaningful collective bargaining possible by protecting worker freedom and bargaining strength</w:t>
      </w:r>
      <w:r w:rsidDel="00000000" w:rsidR="00000000" w:rsidRPr="00000000">
        <w:rPr>
          <w:rFonts w:ascii="Times New Roman" w:cs="Times New Roman" w:eastAsia="Times New Roman" w:hAnsi="Times New Roman"/>
          <w:sz w:val="24"/>
          <w:szCs w:val="24"/>
          <w:vertAlign w:val="superscript"/>
        </w:rPr>
        <w:footnoteReference w:customMarkFollows="0" w:id="27"/>
      </w:r>
      <w:r w:rsidDel="00000000" w:rsidR="00000000" w:rsidRPr="00000000">
        <w:rPr>
          <w:rFonts w:ascii="Times New Roman" w:cs="Times New Roman" w:eastAsia="Times New Roman" w:hAnsi="Times New Roman"/>
          <w:sz w:val="24"/>
          <w:szCs w:val="24"/>
          <w:rtl w:val="0"/>
        </w:rPr>
        <w:t xml:space="preserve">. By a regulatory conception, the law emphasises the need to achieve order, predictability and efficiency in administration, even at the cost of limitations on the consummation of collective rights. The IRC seems to be heading towards the second model, re-engineering collective bargaining as a regulated process in a highly formalized regulatory system.  </w:t>
      </w:r>
    </w:p>
    <w:p w:rsidR="00000000" w:rsidDel="00000000" w:rsidP="00000000" w:rsidRDefault="00000000" w:rsidRPr="00000000" w14:paraId="0000006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outcome of this change is not the abolition of collective bargaining, just a change in its pre-requisites. Increased representational thresholds might constrain plural engagement; increased strike regulation could impair bargaining power and more executive control might restrict the freedom of collective bargaining. These aspects can be cumulatively interpreted to imply that there is a shrinking of the institutional space under which collective bargaining is possible to work effectively</w:t>
      </w:r>
      <w:r w:rsidDel="00000000" w:rsidR="00000000" w:rsidRPr="00000000">
        <w:rPr>
          <w:rFonts w:ascii="Times New Roman" w:cs="Times New Roman" w:eastAsia="Times New Roman" w:hAnsi="Times New Roman"/>
          <w:sz w:val="24"/>
          <w:szCs w:val="24"/>
          <w:vertAlign w:val="superscript"/>
        </w:rPr>
        <w:footnoteReference w:customMarkFollows="0" w:id="2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analysis of whether this restructuring is regression or not is based on the normative framework that is in use. In case collective bargaining is being acted as a policy instrument which should be redesigned in legislation, the IRC will be the embodiment of rational aggregation. Provided, however, that collective bargaining is perceived as a substantive labour right correlated with the freedom of association and the dignity of work, then the structural adaptations of the Code should be given more attention to determine how they can be reconciled with the rights-oriented labour management.</w:t>
      </w:r>
      <w:r w:rsidDel="00000000" w:rsidR="00000000" w:rsidRPr="00000000">
        <w:rPr>
          <w:rtl w:val="0"/>
        </w:rPr>
      </w:r>
    </w:p>
    <w:p w:rsidR="00000000" w:rsidDel="00000000" w:rsidP="00000000" w:rsidRDefault="00000000" w:rsidRPr="00000000" w14:paraId="00000063">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Collective Bargaining as a Substantive Labour Right and Its Relationship with Business Interests</w:t>
      </w:r>
    </w:p>
    <w:p w:rsidR="00000000" w:rsidDel="00000000" w:rsidP="00000000" w:rsidRDefault="00000000" w:rsidRPr="00000000" w14:paraId="0000006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common misgivings in the multiple debates about labour reform is that the reinforcement of collective bargaining can </w:t>
      </w:r>
      <w:r w:rsidDel="00000000" w:rsidR="00000000" w:rsidRPr="00000000">
        <w:rPr>
          <w:rFonts w:ascii="Times New Roman" w:cs="Times New Roman" w:eastAsia="Times New Roman" w:hAnsi="Times New Roman"/>
          <w:sz w:val="24"/>
          <w:szCs w:val="24"/>
          <w:rtl w:val="0"/>
        </w:rPr>
        <w:t xml:space="preserve">reduce economic flexibility </w:t>
      </w:r>
      <w:r w:rsidDel="00000000" w:rsidR="00000000" w:rsidRPr="00000000">
        <w:rPr>
          <w:rFonts w:ascii="Times New Roman" w:cs="Times New Roman" w:eastAsia="Times New Roman" w:hAnsi="Times New Roman"/>
          <w:sz w:val="24"/>
          <w:szCs w:val="24"/>
          <w:rtl w:val="0"/>
        </w:rPr>
        <w:t xml:space="preserve">and increase compliance costs, or limit the autonomy of managers. The latter apprehension is often the driver of legislative choices where a significant focus is on facilitated dispute settlement and the highly regulated industrial action. In turn, any evaluation of the Industrial Relations Code, 2020 should touch upon the issue whether the identification of collective bargaining as a substantive labour right is intrinsically hostile to the legitimate commercial interests.</w:t>
      </w:r>
    </w:p>
    <w:p w:rsidR="00000000" w:rsidDel="00000000" w:rsidP="00000000" w:rsidRDefault="00000000" w:rsidRPr="00000000" w14:paraId="0000006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necessary at the beginning to draw the line between uncontrolled industrial action and institutionalized collective bargaining. The latter does not inherently disrupt the business operations, but provides an organized platform on which employers and employees discuss wage, working conditions and organizational transformation changes. Through collective bargaining, in most jurisdictions, this plays out as a process of preemptive conflict and is represented more by dialogue within the concerned parties before conflicts escalate into strikes or court proceedings. In this perspective, </w:t>
      </w:r>
      <w:r w:rsidDel="00000000" w:rsidR="00000000" w:rsidRPr="00000000">
        <w:rPr>
          <w:rFonts w:ascii="Times New Roman" w:cs="Times New Roman" w:eastAsia="Times New Roman" w:hAnsi="Times New Roman"/>
          <w:sz w:val="24"/>
          <w:szCs w:val="24"/>
          <w:rtl w:val="0"/>
        </w:rPr>
        <w:t xml:space="preserve">collective bargaining operates as a stabilising mechanism.</w:t>
      </w:r>
      <w:r w:rsidDel="00000000" w:rsidR="00000000" w:rsidRPr="00000000">
        <w:rPr>
          <w:rtl w:val="0"/>
        </w:rPr>
      </w:r>
    </w:p>
    <w:p w:rsidR="00000000" w:rsidDel="00000000" w:rsidP="00000000" w:rsidRDefault="00000000" w:rsidRPr="00000000" w14:paraId="0000006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analysis also indicates that predictable bargaining structures will decrease the transaction costs that will arise in relation to repetitive issues of individual disagreements. With collectively negotiated and formal employment terms encapsulated in binding settlements, the employers benefit from certainty, standardization and reduced litigation risk. Standardization of terms among the workforce, restraint of disjointed complaints and mechanisms of internal dispute resolution are factors that are encouraged through the collective agreements</w:t>
      </w:r>
      <w:r w:rsidDel="00000000" w:rsidR="00000000" w:rsidRPr="00000000">
        <w:rPr>
          <w:rFonts w:ascii="Times New Roman" w:cs="Times New Roman" w:eastAsia="Times New Roman" w:hAnsi="Times New Roman"/>
          <w:sz w:val="24"/>
          <w:szCs w:val="24"/>
          <w:vertAlign w:val="superscript"/>
        </w:rPr>
        <w:footnoteReference w:customMarkFollows="0" w:id="29"/>
      </w:r>
      <w:r w:rsidDel="00000000" w:rsidR="00000000" w:rsidRPr="00000000">
        <w:rPr>
          <w:rFonts w:ascii="Times New Roman" w:cs="Times New Roman" w:eastAsia="Times New Roman" w:hAnsi="Times New Roman"/>
          <w:sz w:val="24"/>
          <w:szCs w:val="24"/>
          <w:rtl w:val="0"/>
        </w:rPr>
        <w:t xml:space="preserve">. Institutionalized bargaining contributes to managerial certitude, in this respect, instead of its erosion.</w:t>
      </w:r>
    </w:p>
    <w:p w:rsidR="00000000" w:rsidDel="00000000" w:rsidP="00000000" w:rsidRDefault="00000000" w:rsidRPr="00000000" w14:paraId="0000006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can also facilitate negotiated flexibility in responding to changing economic conditions. Employers that are facing technological change, restructuring or volatile market conditions may find it easier to secure workforce compliance using negotiated agreements than acting solely</w:t>
      </w:r>
      <w:r w:rsidDel="00000000" w:rsidR="00000000" w:rsidRPr="00000000">
        <w:rPr>
          <w:rFonts w:ascii="Times New Roman" w:cs="Times New Roman" w:eastAsia="Times New Roman" w:hAnsi="Times New Roman"/>
          <w:sz w:val="24"/>
          <w:szCs w:val="24"/>
          <w:vertAlign w:val="superscript"/>
        </w:rPr>
        <w:footnoteReference w:customMarkFollows="0" w:id="30"/>
      </w:r>
      <w:r w:rsidDel="00000000" w:rsidR="00000000" w:rsidRPr="00000000">
        <w:rPr>
          <w:rFonts w:ascii="Times New Roman" w:cs="Times New Roman" w:eastAsia="Times New Roman" w:hAnsi="Times New Roman"/>
          <w:sz w:val="24"/>
          <w:szCs w:val="24"/>
          <w:rtl w:val="0"/>
        </w:rPr>
        <w:t xml:space="preserve">. Collective bargaining allows the parties to tailor solutions to enterprise-specific circumstances, including those in the work organization, productivity incentives and transitional protections. A rights-oriented system of bargaining does not eliminate flexibility; it is just the channel of flexibility through organized bargaining.</w:t>
      </w:r>
    </w:p>
    <w:p w:rsidR="00000000" w:rsidDel="00000000" w:rsidP="00000000" w:rsidRDefault="00000000" w:rsidRPr="00000000" w14:paraId="00000068">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international labour standards have always appreciated the fact that collective bargaining is a contributor towards industrial peace and stability of the economy over the long run. The International Labour Organization emphasises that resilience in the process of economic transition can be enhanced through social dialogue and collective bargaining that ensures the balance of gains in productivity and constructive organisation of labour standards. This perspective rebuffs neither the binary belief that economic competitiveness and labour rights are in opposition to each other but rather that collective bargaining is presented as a part of economic governance that is sustainable</w:t>
      </w:r>
      <w:r w:rsidDel="00000000" w:rsidR="00000000" w:rsidRPr="00000000">
        <w:rPr>
          <w:rFonts w:ascii="Times New Roman" w:cs="Times New Roman" w:eastAsia="Times New Roman" w:hAnsi="Times New Roman"/>
          <w:sz w:val="24"/>
          <w:szCs w:val="24"/>
          <w:vertAlign w:val="superscript"/>
        </w:rPr>
        <w:footnoteReference w:customMarkFollows="0" w:id="31"/>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does not make any of the regulations to restrict industrial action unjustified. States still have legitimate powers to control strikes in the vital services, maintain public order and avoid sudden economic turmoil. However, the important question is that of proportionality and balance. Regulations that ensure that orderly negotiation is maintained and meaningful bargaining power is not diminished are on par with the business interests and labour rights. On the other hand, any implementation of measures that constructively limit the ability of workers to negotiate could be convenient in the managerial short term but undermine institutional legitimacy in the long term.</w:t>
      </w:r>
    </w:p>
    <w:p w:rsidR="00000000" w:rsidDel="00000000" w:rsidP="00000000" w:rsidRDefault="00000000" w:rsidRPr="00000000" w14:paraId="0000006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Indian situation has been facing a problem of balancing Indian economic reform, with constitutional obligation of freedom of association, as well as, with dignity of labour. R</w:t>
      </w:r>
      <w:r w:rsidDel="00000000" w:rsidR="00000000" w:rsidRPr="00000000">
        <w:rPr>
          <w:rFonts w:ascii="Times New Roman" w:cs="Times New Roman" w:eastAsia="Times New Roman" w:hAnsi="Times New Roman"/>
          <w:sz w:val="24"/>
          <w:szCs w:val="24"/>
          <w:rtl w:val="0"/>
        </w:rPr>
        <w:t xml:space="preserve">ecognising collective bargaining as a substantive labour right does not require rigid labour markets or perpetual industrial conflict. </w:t>
      </w:r>
      <w:r w:rsidDel="00000000" w:rsidR="00000000" w:rsidRPr="00000000">
        <w:rPr>
          <w:rFonts w:ascii="Times New Roman" w:cs="Times New Roman" w:eastAsia="Times New Roman" w:hAnsi="Times New Roman"/>
          <w:sz w:val="24"/>
          <w:szCs w:val="24"/>
          <w:rtl w:val="0"/>
        </w:rPr>
        <w:t xml:space="preserve">Instead, it demands that the legal structure should be in such a manner that </w:t>
      </w:r>
      <w:r w:rsidDel="00000000" w:rsidR="00000000" w:rsidRPr="00000000">
        <w:rPr>
          <w:rFonts w:ascii="Times New Roman" w:cs="Times New Roman" w:eastAsia="Times New Roman" w:hAnsi="Times New Roman"/>
          <w:sz w:val="24"/>
          <w:szCs w:val="24"/>
          <w:rtl w:val="0"/>
        </w:rPr>
        <w:t xml:space="preserve">the fundamental conditions necessary for meaningful negotiation, including representative autonomy, reasonable access to collective action and protection against undue interference</w:t>
      </w:r>
      <w:r w:rsidDel="00000000" w:rsidR="00000000" w:rsidRPr="00000000">
        <w:rPr>
          <w:rFonts w:ascii="Times New Roman" w:cs="Times New Roman" w:eastAsia="Times New Roman" w:hAnsi="Times New Roman"/>
          <w:sz w:val="24"/>
          <w:szCs w:val="24"/>
          <w:rtl w:val="0"/>
        </w:rPr>
        <w:t xml:space="preserve">, be present.</w:t>
      </w:r>
    </w:p>
    <w:p w:rsidR="00000000" w:rsidDel="00000000" w:rsidP="00000000" w:rsidRDefault="00000000" w:rsidRPr="00000000" w14:paraId="0000006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this, the consideration of the Industrial Relations Code, 2020 should not be presented as a choice between business efficiency as an alternative to labour rights. The less obvious question is whether the Code creates a sustainable balance between industrial relationships that are regulated and efficient collective bargaining. An institutionalized form of dialogue that would still have worker involvement can increase economic stability and rights-oriented governance. The sustainability of the labour reform is not only the streamlining of regulations but also maintenance of mechanisms which deliver legitimacy and voice in the workplace.</w:t>
      </w:r>
    </w:p>
    <w:p w:rsidR="00000000" w:rsidDel="00000000" w:rsidP="00000000" w:rsidRDefault="00000000" w:rsidRPr="00000000" w14:paraId="0000006C">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Conclusion  </w:t>
      </w:r>
    </w:p>
    <w:p w:rsidR="00000000" w:rsidDel="00000000" w:rsidP="00000000" w:rsidRDefault="00000000" w:rsidRPr="00000000" w14:paraId="0000006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paper has </w:t>
      </w:r>
      <w:r w:rsidDel="00000000" w:rsidR="00000000" w:rsidRPr="00000000">
        <w:rPr>
          <w:rFonts w:ascii="Times New Roman" w:cs="Times New Roman" w:eastAsia="Times New Roman" w:hAnsi="Times New Roman"/>
          <w:sz w:val="24"/>
          <w:szCs w:val="24"/>
          <w:rtl w:val="0"/>
        </w:rPr>
        <w:t xml:space="preserve">examined the Industrial Relations Code, 2020 through the lens of collective bargaining</w:t>
      </w:r>
      <w:r w:rsidDel="00000000" w:rsidR="00000000" w:rsidRPr="00000000">
        <w:rPr>
          <w:rFonts w:ascii="Times New Roman" w:cs="Times New Roman" w:eastAsia="Times New Roman" w:hAnsi="Times New Roman"/>
          <w:sz w:val="24"/>
          <w:szCs w:val="24"/>
          <w:rtl w:val="0"/>
        </w:rPr>
        <w:t xml:space="preserve"> as an institutional mechanism and as a normative labour right. By situating collective bargaining within its economic and rights-oriented foundations and by evaluating its position within the framework of the international labour standards and the existing Indian law regime, the analysis aims at retrieving the structural implications of the Code and not its textual changes.  </w:t>
      </w:r>
    </w:p>
    <w:p w:rsidR="00000000" w:rsidDel="00000000" w:rsidP="00000000" w:rsidRDefault="00000000" w:rsidRPr="00000000" w14:paraId="0000006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bargaining was not enshrined as a right within the pre-IRC constitutional framework. It did so instead by making collective bargaining easier by statutory design and judicially approved settlements as well as by constraining the recognition that it received in constitutional doctrine. Such a dual character made collective bargaining useful but weak. The Industrial Relations Code is created in relation to that weakness, by resetting the institutional framework within which collective bargaining operates</w:t>
      </w:r>
      <w:r w:rsidDel="00000000" w:rsidR="00000000" w:rsidRPr="00000000">
        <w:rPr>
          <w:rFonts w:ascii="Times New Roman" w:cs="Times New Roman" w:eastAsia="Times New Roman" w:hAnsi="Times New Roman"/>
          <w:sz w:val="24"/>
          <w:szCs w:val="24"/>
          <w:vertAlign w:val="superscript"/>
        </w:rPr>
        <w:footnoteReference w:customMarkFollows="0" w:id="32"/>
      </w:r>
      <w:r w:rsidDel="00000000" w:rsidR="00000000" w:rsidRPr="00000000">
        <w:rPr>
          <w:rFonts w:ascii="Times New Roman" w:cs="Times New Roman" w:eastAsia="Times New Roman" w:hAnsi="Times New Roman"/>
          <w:sz w:val="24"/>
          <w:szCs w:val="24"/>
          <w:rtl w:val="0"/>
        </w:rPr>
        <w:t xml:space="preserve">. The Code maintains collective bargaining in its form but restricts the space of the effective exercise of collective bargaining through the representational thresholds, expanded strike regulation and enhanced executive control.  </w:t>
      </w:r>
    </w:p>
    <w:p w:rsidR="00000000" w:rsidDel="00000000" w:rsidP="00000000" w:rsidRDefault="00000000" w:rsidRPr="00000000" w14:paraId="0000006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Dealing with such restructuring would either be reform or regression, based on the normative approach one chooses to implement. In case collective bargaining is handled like a regulatory tool and is also subject to policy redesign, then the Code can be seen as a form of consolidation and administrative rationalisation. To secure these advantages, however, in the event that collective bargaining is interpreted as a substantive aspect of the freedom of association and dignified work, the structural changes of the Code have valid apprehensions on the issue of diluting worker autonomy and bargaining authority.  </w:t>
      </w:r>
    </w:p>
    <w:p w:rsidR="00000000" w:rsidDel="00000000" w:rsidP="00000000" w:rsidRDefault="00000000" w:rsidRPr="00000000" w14:paraId="0000007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Notably, acknowledging collective bargaining as a substantive right to labour should not contradict economic performance. Organised collective bargaining has the potential to foster industrial peace, predictability and negotiated flexibility hence helping to build sustainable business environments. The long-term validity of labour reform does not simply consist in simplifying regulations but in the preservation of meaningful structures of worker participation.</w:t>
      </w:r>
    </w:p>
    <w:p w:rsidR="00000000" w:rsidDel="00000000" w:rsidP="00000000" w:rsidRDefault="00000000" w:rsidRPr="00000000" w14:paraId="0000007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change in the labour governance towards regulation as opposed to facilitation is more apparent in the Industrial Relations Code. It is up to the courts, policymakers and scholars to make sure that such change does not undermine the role of collective bargaining in the foundations of labour jurisprudence in India. </w:t>
      </w:r>
      <w:r w:rsidDel="00000000" w:rsidR="00000000" w:rsidRPr="00000000">
        <w:rPr>
          <w:rFonts w:ascii="Times New Roman" w:cs="Times New Roman" w:eastAsia="Times New Roman" w:hAnsi="Times New Roman"/>
          <w:sz w:val="24"/>
          <w:szCs w:val="24"/>
          <w:rtl w:val="0"/>
        </w:rPr>
        <w:t xml:space="preserve">A rights-oriented interpretative approach, attentive to constitutional principles and international labour standards, remains essential to maintaining the balance between economic reform and labour justice.</w:t>
      </w:r>
    </w:p>
    <w:p w:rsidR="00000000" w:rsidDel="00000000" w:rsidP="00000000" w:rsidRDefault="00000000" w:rsidRPr="00000000" w14:paraId="00000072">
      <w:pPr>
        <w:pStyle w:val="Heading1"/>
        <w:keepNext w:val="0"/>
        <w:keepLines w:val="0"/>
        <w:spacing w:before="480" w:line="360" w:lineRule="auto"/>
        <w:jc w:val="both"/>
        <w:rPr>
          <w:rFonts w:ascii="Times New Roman" w:cs="Times New Roman" w:eastAsia="Times New Roman" w:hAnsi="Times New Roman"/>
          <w:b w:val="1"/>
          <w:bCs w:val="1"/>
          <w:sz w:val="46"/>
          <w:szCs w:val="46"/>
        </w:rPr>
      </w:pPr>
      <w:bookmarkStart w:colFirst="0" w:colLast="0" w:name="_carwrt2sms4x" w:id="2"/>
      <w:bookmarkEnd w:id="2"/>
      <w:r w:rsidDel="00000000" w:rsidR="00000000" w:rsidRPr="00000000">
        <w:rPr>
          <w:rtl w:val="0"/>
        </w:rPr>
      </w:r>
    </w:p>
    <w:p w:rsidR="00000000" w:rsidDel="00000000" w:rsidP="00000000" w:rsidRDefault="00000000" w:rsidRPr="00000000" w14:paraId="00000073">
      <w:pPr>
        <w:pStyle w:val="Heading1"/>
        <w:keepNext w:val="0"/>
        <w:keepLines w:val="0"/>
        <w:spacing w:before="480" w:line="360" w:lineRule="auto"/>
        <w:jc w:val="both"/>
        <w:rPr>
          <w:rFonts w:ascii="Times New Roman" w:cs="Times New Roman" w:eastAsia="Times New Roman" w:hAnsi="Times New Roman"/>
          <w:b w:val="1"/>
          <w:bCs w:val="1"/>
          <w:sz w:val="46"/>
          <w:szCs w:val="46"/>
        </w:rPr>
      </w:pPr>
      <w:bookmarkStart w:colFirst="0" w:colLast="0" w:name="_bz3pafaoepg8" w:id="3"/>
      <w:bookmarkEnd w:id="3"/>
      <w:r w:rsidDel="00000000" w:rsidR="00000000" w:rsidRPr="00000000">
        <w:rPr>
          <w:rtl w:val="0"/>
        </w:rPr>
      </w:r>
    </w:p>
    <w:p w:rsidR="00000000" w:rsidDel="00000000" w:rsidP="00000000" w:rsidRDefault="00000000" w:rsidRPr="00000000" w14:paraId="00000074">
      <w:pPr>
        <w:pStyle w:val="Heading1"/>
        <w:keepNext w:val="0"/>
        <w:keepLines w:val="0"/>
        <w:spacing w:before="480" w:line="360" w:lineRule="auto"/>
        <w:jc w:val="both"/>
        <w:rPr>
          <w:rFonts w:ascii="Times New Roman" w:cs="Times New Roman" w:eastAsia="Times New Roman" w:hAnsi="Times New Roman"/>
          <w:b w:val="1"/>
          <w:bCs w:val="1"/>
          <w:sz w:val="46"/>
          <w:szCs w:val="46"/>
        </w:rPr>
      </w:pPr>
      <w:bookmarkStart w:colFirst="0" w:colLast="0" w:name="_6u5kvm40pz24" w:id="4"/>
      <w:bookmarkEnd w:id="4"/>
      <w:r w:rsidDel="00000000" w:rsidR="00000000" w:rsidRPr="00000000">
        <w:rPr>
          <w:rtl w:val="0"/>
        </w:rPr>
      </w:r>
    </w:p>
    <w:p w:rsidR="00000000" w:rsidDel="00000000" w:rsidP="00000000" w:rsidRDefault="00000000" w:rsidRPr="00000000" w14:paraId="00000075">
      <w:pPr>
        <w:pStyle w:val="Heading1"/>
        <w:keepNext w:val="0"/>
        <w:keepLines w:val="0"/>
        <w:spacing w:before="480" w:line="360" w:lineRule="auto"/>
        <w:jc w:val="both"/>
        <w:rPr>
          <w:rFonts w:ascii="Times New Roman" w:cs="Times New Roman" w:eastAsia="Times New Roman" w:hAnsi="Times New Roman"/>
          <w:b w:val="1"/>
          <w:bCs w:val="1"/>
          <w:sz w:val="46"/>
          <w:szCs w:val="46"/>
        </w:rPr>
      </w:pPr>
      <w:bookmarkStart w:colFirst="0" w:colLast="0" w:name="_scfoz16icul3" w:id="5"/>
      <w:bookmarkEnd w:id="5"/>
      <w:r w:rsidDel="00000000" w:rsidR="00000000" w:rsidRPr="00000000">
        <w:rPr>
          <w:rtl w:val="0"/>
        </w:rPr>
      </w:r>
    </w:p>
    <w:p w:rsidR="00000000" w:rsidDel="00000000" w:rsidP="00000000" w:rsidRDefault="00000000" w:rsidRPr="00000000" w14:paraId="00000076">
      <w:pPr>
        <w:pStyle w:val="Heading1"/>
        <w:keepNext w:val="0"/>
        <w:keepLines w:val="0"/>
        <w:spacing w:before="480" w:line="360" w:lineRule="auto"/>
        <w:jc w:val="both"/>
        <w:rPr>
          <w:rFonts w:ascii="Times New Roman" w:cs="Times New Roman" w:eastAsia="Times New Roman" w:hAnsi="Times New Roman"/>
          <w:b w:val="1"/>
          <w:bCs w:val="1"/>
          <w:sz w:val="46"/>
          <w:szCs w:val="46"/>
        </w:rPr>
      </w:pPr>
      <w:bookmarkStart w:colFirst="0" w:colLast="0" w:name="_t9t1ak6kgo11" w:id="6"/>
      <w:bookmarkEnd w:id="6"/>
      <w:r w:rsidDel="00000000" w:rsidR="00000000" w:rsidRPr="00000000">
        <w:rPr>
          <w:rtl w:val="0"/>
        </w:rPr>
      </w:r>
    </w:p>
    <w:p w:rsidR="00000000" w:rsidDel="00000000" w:rsidP="00000000" w:rsidRDefault="00000000" w:rsidRPr="00000000" w14:paraId="00000077">
      <w:pPr>
        <w:keepNext w:val="0"/>
        <w:keepLines w:val="0"/>
        <w:spacing w:before="48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Bibliography</w:t>
      </w:r>
    </w:p>
    <w:p w:rsidR="00000000" w:rsidDel="00000000" w:rsidP="00000000" w:rsidRDefault="00000000" w:rsidRPr="00000000" w14:paraId="00000078">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Statutes</w:t>
      </w:r>
    </w:p>
    <w:p w:rsidR="00000000" w:rsidDel="00000000" w:rsidP="00000000" w:rsidRDefault="00000000" w:rsidRPr="00000000" w14:paraId="0000007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Constitution of India, 1950.</w:t>
      </w:r>
    </w:p>
    <w:p w:rsidR="00000000" w:rsidDel="00000000" w:rsidP="00000000" w:rsidRDefault="00000000" w:rsidRPr="00000000" w14:paraId="0000007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Industrial Disputes Act, 1947.</w:t>
      </w:r>
    </w:p>
    <w:p w:rsidR="00000000" w:rsidDel="00000000" w:rsidP="00000000" w:rsidRDefault="00000000" w:rsidRPr="00000000" w14:paraId="0000007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Industrial Employment (Standing Orders) Act, 1946.</w:t>
      </w:r>
    </w:p>
    <w:p w:rsidR="00000000" w:rsidDel="00000000" w:rsidP="00000000" w:rsidRDefault="00000000" w:rsidRPr="00000000" w14:paraId="0000007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Industrial Relations Code, 2020.</w:t>
      </w:r>
    </w:p>
    <w:p w:rsidR="00000000" w:rsidDel="00000000" w:rsidP="00000000" w:rsidRDefault="00000000" w:rsidRPr="00000000" w14:paraId="0000007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Trade Unions Act, 1926.</w:t>
      </w:r>
    </w:p>
    <w:p w:rsidR="00000000" w:rsidDel="00000000" w:rsidP="00000000" w:rsidRDefault="00000000" w:rsidRPr="00000000" w14:paraId="0000007E">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International Instruments</w:t>
      </w:r>
    </w:p>
    <w:p w:rsidR="00000000" w:rsidDel="00000000" w:rsidP="00000000" w:rsidRDefault="00000000" w:rsidRPr="00000000" w14:paraId="0000007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of Association and Protection of the Right to Organise Convention, 1948 (No. 87), International Labour Organization.</w:t>
      </w:r>
    </w:p>
    <w:p w:rsidR="00000000" w:rsidDel="00000000" w:rsidP="00000000" w:rsidRDefault="00000000" w:rsidRPr="00000000" w14:paraId="0000008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Organise and Collective Bargaining Convention, 1949 (No. 98), International Labour Organization.</w:t>
      </w:r>
    </w:p>
    <w:p w:rsidR="00000000" w:rsidDel="00000000" w:rsidP="00000000" w:rsidRDefault="00000000" w:rsidRPr="00000000" w14:paraId="0000008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ILO Declaration on Fundamental Principles and Rights at Work, 1998.</w:t>
      </w:r>
    </w:p>
    <w:p w:rsidR="00000000" w:rsidDel="00000000" w:rsidP="00000000" w:rsidRDefault="00000000" w:rsidRPr="00000000" w14:paraId="00000082">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Cases</w:t>
      </w:r>
    </w:p>
    <w:p w:rsidR="00000000" w:rsidDel="00000000" w:rsidP="00000000" w:rsidRDefault="00000000" w:rsidRPr="00000000" w14:paraId="0000008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India Bank Employees’ Association v. National Industrial Tribunal, AIR 1962 SC 171.</w:t>
      </w:r>
    </w:p>
    <w:p w:rsidR="00000000" w:rsidDel="00000000" w:rsidP="00000000" w:rsidRDefault="00000000" w:rsidRPr="00000000" w14:paraId="0000008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Workmen of Dharampal Premchand (Saughandhi) v. Dharampal Premchand, (1965) 3 SCR 394.</w:t>
      </w:r>
    </w:p>
    <w:p w:rsidR="00000000" w:rsidDel="00000000" w:rsidP="00000000" w:rsidRDefault="00000000" w:rsidRPr="00000000" w14:paraId="0000008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Balmer Lawrie Workers’ Union v. Balmer Lawrie &amp; Co., (1984) 4 SCC 628.</w:t>
      </w:r>
    </w:p>
    <w:p w:rsidR="00000000" w:rsidDel="00000000" w:rsidP="00000000" w:rsidRDefault="00000000" w:rsidRPr="00000000" w14:paraId="0000008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Vishaka v. State of Rajasthan, (1997) 6 SCC 241.</w:t>
      </w:r>
    </w:p>
    <w:p w:rsidR="00000000" w:rsidDel="00000000" w:rsidP="00000000" w:rsidRDefault="00000000" w:rsidRPr="00000000" w14:paraId="0000008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Maneka Gandhi v. Union of India, (1978) 1 SCC 248.</w:t>
      </w:r>
    </w:p>
    <w:p w:rsidR="00000000" w:rsidDel="00000000" w:rsidP="00000000" w:rsidRDefault="00000000" w:rsidRPr="00000000" w14:paraId="00000088">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Books</w:t>
      </w:r>
    </w:p>
    <w:p w:rsidR="00000000" w:rsidDel="00000000" w:rsidP="00000000" w:rsidRDefault="00000000" w:rsidRPr="00000000" w14:paraId="0000008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Alan Bogg and Tonia Novitz, Democratic Foundations of Labour Rights, Oxford University Press, Oxford (2014).</w:t>
      </w:r>
    </w:p>
    <w:p w:rsidR="00000000" w:rsidDel="00000000" w:rsidP="00000000" w:rsidRDefault="00000000" w:rsidRPr="00000000" w14:paraId="0000008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Guy Davidov, A Purposive Approach to Labour Law, Oxford University Press, Oxford (2016).</w:t>
      </w:r>
    </w:p>
    <w:p w:rsidR="00000000" w:rsidDel="00000000" w:rsidP="00000000" w:rsidRDefault="00000000" w:rsidRPr="00000000" w14:paraId="0000008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Hugh Collins, Employment Law, Oxford University Press, Oxford (2010).</w:t>
      </w:r>
    </w:p>
    <w:p w:rsidR="00000000" w:rsidDel="00000000" w:rsidP="00000000" w:rsidRDefault="00000000" w:rsidRPr="00000000" w14:paraId="0000008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Otto Kahn-Freund, Labour and the Law, Stevens &amp; Sons, London (1983).</w:t>
      </w:r>
    </w:p>
    <w:p w:rsidR="00000000" w:rsidDel="00000000" w:rsidP="00000000" w:rsidRDefault="00000000" w:rsidRPr="00000000" w14:paraId="0000008D">
      <w:pPr>
        <w:keepNext w:val="0"/>
        <w:keepLines w:val="0"/>
        <w:spacing w:after="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Reports and Institutional Publications</w:t>
      </w:r>
    </w:p>
    <w:p w:rsidR="00000000" w:rsidDel="00000000" w:rsidP="00000000" w:rsidRDefault="00000000" w:rsidRPr="00000000" w14:paraId="0000008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Labour Organization, Collective Bargaining: A Policy Guide, ILO, Geneva (2015).</w:t>
      </w:r>
    </w:p>
    <w:p w:rsidR="00000000" w:rsidDel="00000000" w:rsidP="00000000" w:rsidRDefault="00000000" w:rsidRPr="00000000" w14:paraId="0000008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Labour Organization, Digest of Decisions of the Committee on Freedom of Association, ILO, Geneva (2018).</w:t>
      </w:r>
    </w:p>
    <w:p w:rsidR="00000000" w:rsidDel="00000000" w:rsidP="00000000" w:rsidRDefault="00000000" w:rsidRPr="00000000" w14:paraId="0000009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Labour Organization, Global Commission on the Future of Work Report, ILO, Geneva (2019).</w:t>
      </w:r>
    </w:p>
    <w:p w:rsidR="00000000" w:rsidDel="00000000" w:rsidP="00000000" w:rsidRDefault="00000000" w:rsidRPr="00000000" w14:paraId="0000009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OECD, Collective Bargaining in a Changing World of Work, OECD Publishing, Paris (2019).</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9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19"/>
          <w:szCs w:val="19"/>
          <w:rtl w:val="0"/>
        </w:rPr>
        <w:t xml:space="preserve">International Labour Organization, Collective Bargaining: A Policy Guide (ILO, Geneva, </w:t>
      </w:r>
      <w:r w:rsidDel="00000000" w:rsidR="00000000" w:rsidRPr="00000000">
        <w:rPr>
          <w:rFonts w:ascii="Times New Roman" w:cs="Times New Roman" w:eastAsia="Times New Roman" w:hAnsi="Times New Roman"/>
          <w:color w:val="111111"/>
          <w:sz w:val="20"/>
          <w:szCs w:val="20"/>
          <w:rtl w:val="0"/>
        </w:rPr>
        <w:t xml:space="preserve">2015).</w:t>
      </w:r>
      <w:r w:rsidDel="00000000" w:rsidR="00000000" w:rsidRPr="00000000">
        <w:rPr>
          <w:rtl w:val="0"/>
        </w:rPr>
      </w:r>
    </w:p>
  </w:footnote>
  <w:footnote w:id="2">
    <w:p w:rsidR="00000000" w:rsidDel="00000000" w:rsidP="00000000" w:rsidRDefault="00000000" w:rsidRPr="00000000" w14:paraId="0000009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Otto Kahn-Freund, “Labour and the Law” (3rd edn., Stevens &amp; Sons 1983).</w:t>
      </w:r>
      <w:r w:rsidDel="00000000" w:rsidR="00000000" w:rsidRPr="00000000">
        <w:rPr>
          <w:rtl w:val="0"/>
        </w:rPr>
      </w:r>
    </w:p>
  </w:footnote>
  <w:footnote w:id="3">
    <w:p w:rsidR="00000000" w:rsidDel="00000000" w:rsidP="00000000" w:rsidRDefault="00000000" w:rsidRPr="00000000" w14:paraId="0000009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Hugh Collins, Employment Law (2nd edn., Oxford University Press 2010).</w:t>
      </w:r>
      <w:r w:rsidDel="00000000" w:rsidR="00000000" w:rsidRPr="00000000">
        <w:rPr>
          <w:rtl w:val="0"/>
        </w:rPr>
      </w:r>
    </w:p>
  </w:footnote>
  <w:footnote w:id="4">
    <w:p w:rsidR="00000000" w:rsidDel="00000000" w:rsidP="00000000" w:rsidRDefault="00000000" w:rsidRPr="00000000" w14:paraId="0000009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Guy Davidov, A Purposive Approach to Labour Law (Oxford University Press 2016).</w:t>
      </w:r>
      <w:r w:rsidDel="00000000" w:rsidR="00000000" w:rsidRPr="00000000">
        <w:rPr>
          <w:rtl w:val="0"/>
        </w:rPr>
      </w:r>
    </w:p>
  </w:footnote>
  <w:footnote w:id="5">
    <w:p w:rsidR="00000000" w:rsidDel="00000000" w:rsidP="00000000" w:rsidRDefault="00000000" w:rsidRPr="00000000" w14:paraId="0000009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International Labour Organization, Collective Bargaining: A Policy Guide (2015).</w:t>
      </w:r>
      <w:r w:rsidDel="00000000" w:rsidR="00000000" w:rsidRPr="00000000">
        <w:rPr>
          <w:rtl w:val="0"/>
        </w:rPr>
      </w:r>
    </w:p>
  </w:footnote>
  <w:footnote w:id="6">
    <w:p w:rsidR="00000000" w:rsidDel="00000000" w:rsidP="00000000" w:rsidRDefault="00000000" w:rsidRPr="00000000" w14:paraId="0000009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1"/>
          <w:szCs w:val="21"/>
          <w:rtl w:val="0"/>
        </w:rPr>
        <w:t xml:space="preserve">Alan Bogg and Tonia Novitz, “Democratic Foundations of Labour Rights” (Oxford </w:t>
      </w:r>
      <w:r w:rsidDel="00000000" w:rsidR="00000000" w:rsidRPr="00000000">
        <w:rPr>
          <w:rFonts w:ascii="Times New Roman" w:cs="Times New Roman" w:eastAsia="Times New Roman" w:hAnsi="Times New Roman"/>
          <w:color w:val="111111"/>
          <w:sz w:val="20"/>
          <w:szCs w:val="20"/>
          <w:rtl w:val="0"/>
        </w:rPr>
        <w:t xml:space="preserve">University Press 2014).</w:t>
      </w:r>
      <w:r w:rsidDel="00000000" w:rsidR="00000000" w:rsidRPr="00000000">
        <w:rPr>
          <w:rtl w:val="0"/>
        </w:rPr>
      </w:r>
    </w:p>
  </w:footnote>
  <w:footnote w:id="7">
    <w:p w:rsidR="00000000" w:rsidDel="00000000" w:rsidP="00000000" w:rsidRDefault="00000000" w:rsidRPr="00000000" w14:paraId="0000009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Constitution of India, arts 19(1)(c) and 21.</w:t>
      </w:r>
      <w:r w:rsidDel="00000000" w:rsidR="00000000" w:rsidRPr="00000000">
        <w:rPr>
          <w:rtl w:val="0"/>
        </w:rPr>
      </w:r>
    </w:p>
  </w:footnote>
  <w:footnote w:id="8">
    <w:p w:rsidR="00000000" w:rsidDel="00000000" w:rsidP="00000000" w:rsidRDefault="00000000" w:rsidRPr="00000000" w14:paraId="0000009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Maneka Gandhi v Union of India, (1978) 1 SCC 248.</w:t>
      </w:r>
      <w:r w:rsidDel="00000000" w:rsidR="00000000" w:rsidRPr="00000000">
        <w:rPr>
          <w:rtl w:val="0"/>
        </w:rPr>
      </w:r>
    </w:p>
  </w:footnote>
  <w:footnote w:id="9">
    <w:p w:rsidR="00000000" w:rsidDel="00000000" w:rsidP="00000000" w:rsidRDefault="00000000" w:rsidRPr="00000000" w14:paraId="0000009C">
      <w:pPr>
        <w:spacing w:line="240" w:lineRule="auto"/>
        <w:rPr>
          <w:rFonts w:ascii="Times New Roman" w:cs="Times New Roman" w:eastAsia="Times New Roman" w:hAnsi="Times New Roman"/>
          <w:color w:val="11111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International Labour Organization, ILO Declaration on Fundamental Principles and Rights at Work (1998).</w:t>
      </w:r>
    </w:p>
    <w:p w:rsidR="00000000" w:rsidDel="00000000" w:rsidP="00000000" w:rsidRDefault="00000000" w:rsidRPr="00000000" w14:paraId="0000009D">
      <w:pPr>
        <w:spacing w:line="240" w:lineRule="auto"/>
        <w:rPr>
          <w:sz w:val="20"/>
          <w:szCs w:val="20"/>
        </w:rPr>
      </w:pPr>
      <w:r w:rsidDel="00000000" w:rsidR="00000000" w:rsidRPr="00000000">
        <w:rPr>
          <w:rtl w:val="0"/>
        </w:rPr>
      </w:r>
    </w:p>
  </w:footnote>
  <w:footnote w:id="10">
    <w:p w:rsidR="00000000" w:rsidDel="00000000" w:rsidP="00000000" w:rsidRDefault="00000000" w:rsidRPr="00000000" w14:paraId="0000009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Freedom of Association and Protection of the Right to Organise Convention, 1948 (No. 87).</w:t>
      </w:r>
      <w:r w:rsidDel="00000000" w:rsidR="00000000" w:rsidRPr="00000000">
        <w:rPr>
          <w:rtl w:val="0"/>
        </w:rPr>
      </w:r>
    </w:p>
  </w:footnote>
  <w:footnote w:id="13">
    <w:p w:rsidR="00000000" w:rsidDel="00000000" w:rsidP="00000000" w:rsidRDefault="00000000" w:rsidRPr="00000000" w14:paraId="0000009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Right to Organise and Collective Bargaining Convention, 1949 (No. 98).</w:t>
      </w:r>
      <w:r w:rsidDel="00000000" w:rsidR="00000000" w:rsidRPr="00000000">
        <w:rPr>
          <w:rtl w:val="0"/>
        </w:rPr>
      </w:r>
    </w:p>
  </w:footnote>
  <w:footnote w:id="11">
    <w:p w:rsidR="00000000" w:rsidDel="00000000" w:rsidP="00000000" w:rsidRDefault="00000000" w:rsidRPr="00000000" w14:paraId="000000A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ILO Convention No. 98, art 4.</w:t>
      </w:r>
      <w:r w:rsidDel="00000000" w:rsidR="00000000" w:rsidRPr="00000000">
        <w:rPr>
          <w:rtl w:val="0"/>
        </w:rPr>
      </w:r>
    </w:p>
  </w:footnote>
  <w:footnote w:id="12">
    <w:p w:rsidR="00000000" w:rsidDel="00000000" w:rsidP="00000000" w:rsidRDefault="00000000" w:rsidRPr="00000000" w14:paraId="000000A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ILO Committee on Freedom of Association, Digest of Decisions and Principles (6th edn., ILO 2018).</w:t>
      </w:r>
      <w:r w:rsidDel="00000000" w:rsidR="00000000" w:rsidRPr="00000000">
        <w:rPr>
          <w:rtl w:val="0"/>
        </w:rPr>
      </w:r>
    </w:p>
  </w:footnote>
  <w:footnote w:id="14">
    <w:p w:rsidR="00000000" w:rsidDel="00000000" w:rsidP="00000000" w:rsidRDefault="00000000" w:rsidRPr="00000000" w14:paraId="000000A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International Labour Organization, Global Commission on the Future of Work Report (2019).</w:t>
      </w:r>
      <w:r w:rsidDel="00000000" w:rsidR="00000000" w:rsidRPr="00000000">
        <w:rPr>
          <w:rtl w:val="0"/>
        </w:rPr>
      </w:r>
    </w:p>
  </w:footnote>
  <w:footnote w:id="15">
    <w:p w:rsidR="00000000" w:rsidDel="00000000" w:rsidP="00000000" w:rsidRDefault="00000000" w:rsidRPr="00000000" w14:paraId="000000A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Vishaka v State of Rajasthan, (1997) 6 SCC 241.</w:t>
      </w:r>
      <w:r w:rsidDel="00000000" w:rsidR="00000000" w:rsidRPr="00000000">
        <w:rPr>
          <w:rtl w:val="0"/>
        </w:rPr>
      </w:r>
    </w:p>
  </w:footnote>
  <w:footnote w:id="16">
    <w:p w:rsidR="00000000" w:rsidDel="00000000" w:rsidP="00000000" w:rsidRDefault="00000000" w:rsidRPr="00000000" w14:paraId="000000A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People’s Union for Civil Liberties v Union of India, (1997) 3 SCC 433.</w:t>
      </w:r>
      <w:r w:rsidDel="00000000" w:rsidR="00000000" w:rsidRPr="00000000">
        <w:rPr>
          <w:rtl w:val="0"/>
        </w:rPr>
      </w:r>
    </w:p>
  </w:footnote>
  <w:footnote w:id="17">
    <w:p w:rsidR="00000000" w:rsidDel="00000000" w:rsidP="00000000" w:rsidRDefault="00000000" w:rsidRPr="00000000" w14:paraId="000000A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Trade Unions Act, 1926.</w:t>
      </w:r>
      <w:r w:rsidDel="00000000" w:rsidR="00000000" w:rsidRPr="00000000">
        <w:rPr>
          <w:rtl w:val="0"/>
        </w:rPr>
      </w:r>
    </w:p>
  </w:footnote>
  <w:footnote w:id="18">
    <w:p w:rsidR="00000000" w:rsidDel="00000000" w:rsidP="00000000" w:rsidRDefault="00000000" w:rsidRPr="00000000" w14:paraId="000000A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Disputes Act, 1947.</w:t>
      </w:r>
      <w:r w:rsidDel="00000000" w:rsidR="00000000" w:rsidRPr="00000000">
        <w:rPr>
          <w:rtl w:val="0"/>
        </w:rPr>
      </w:r>
    </w:p>
  </w:footnote>
  <w:footnote w:id="19">
    <w:p w:rsidR="00000000" w:rsidDel="00000000" w:rsidP="00000000" w:rsidRDefault="00000000" w:rsidRPr="00000000" w14:paraId="000000A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Disputes Act, 1947, ss 2(p), 18 and 19.</w:t>
      </w:r>
      <w:r w:rsidDel="00000000" w:rsidR="00000000" w:rsidRPr="00000000">
        <w:rPr>
          <w:rtl w:val="0"/>
        </w:rPr>
      </w:r>
    </w:p>
  </w:footnote>
  <w:footnote w:id="20">
    <w:p w:rsidR="00000000" w:rsidDel="00000000" w:rsidP="00000000" w:rsidRDefault="00000000" w:rsidRPr="00000000" w14:paraId="000000A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Workmen of Dharampal Premchand (Saughandhi) v Dharampal Premchand, (1965) 3 SCR 394.</w:t>
      </w:r>
      <w:r w:rsidDel="00000000" w:rsidR="00000000" w:rsidRPr="00000000">
        <w:rPr>
          <w:rtl w:val="0"/>
        </w:rPr>
      </w:r>
    </w:p>
  </w:footnote>
  <w:footnote w:id="21">
    <w:p w:rsidR="00000000" w:rsidDel="00000000" w:rsidP="00000000" w:rsidRDefault="00000000" w:rsidRPr="00000000" w14:paraId="000000A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All India Bank Employees’ Association v National Industrial Tribunal, AIR 1962 SC 171.</w:t>
      </w:r>
      <w:r w:rsidDel="00000000" w:rsidR="00000000" w:rsidRPr="00000000">
        <w:rPr>
          <w:rtl w:val="0"/>
        </w:rPr>
      </w:r>
    </w:p>
  </w:footnote>
  <w:footnote w:id="22">
    <w:p w:rsidR="00000000" w:rsidDel="00000000" w:rsidP="00000000" w:rsidRDefault="00000000" w:rsidRPr="00000000" w14:paraId="000000A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Balmer Lawrie Workers’ Union v Balmer Lawrie &amp; Co., (1984) 4 SCC 628.</w:t>
      </w:r>
      <w:r w:rsidDel="00000000" w:rsidR="00000000" w:rsidRPr="00000000">
        <w:rPr>
          <w:rtl w:val="0"/>
        </w:rPr>
      </w:r>
    </w:p>
  </w:footnote>
  <w:footnote w:id="23">
    <w:p w:rsidR="00000000" w:rsidDel="00000000" w:rsidP="00000000" w:rsidRDefault="00000000" w:rsidRPr="00000000" w14:paraId="000000A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Relations Code, 2020.</w:t>
      </w:r>
      <w:r w:rsidDel="00000000" w:rsidR="00000000" w:rsidRPr="00000000">
        <w:rPr>
          <w:rtl w:val="0"/>
        </w:rPr>
      </w:r>
    </w:p>
  </w:footnote>
  <w:footnote w:id="24">
    <w:p w:rsidR="00000000" w:rsidDel="00000000" w:rsidP="00000000" w:rsidRDefault="00000000" w:rsidRPr="00000000" w14:paraId="000000A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Relations Code, 2020, s 14.</w:t>
      </w:r>
      <w:r w:rsidDel="00000000" w:rsidR="00000000" w:rsidRPr="00000000">
        <w:rPr>
          <w:rtl w:val="0"/>
        </w:rPr>
      </w:r>
    </w:p>
  </w:footnote>
  <w:footnote w:id="25">
    <w:p w:rsidR="00000000" w:rsidDel="00000000" w:rsidP="00000000" w:rsidRDefault="00000000" w:rsidRPr="00000000" w14:paraId="000000A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1"/>
          <w:szCs w:val="21"/>
          <w:rtl w:val="0"/>
        </w:rPr>
        <w:t xml:space="preserve">Industrial Relations Code, 2020, s 14(3).</w:t>
      </w:r>
      <w:r w:rsidDel="00000000" w:rsidR="00000000" w:rsidRPr="00000000">
        <w:rPr>
          <w:rtl w:val="0"/>
        </w:rPr>
      </w:r>
    </w:p>
  </w:footnote>
  <w:footnote w:id="26">
    <w:p w:rsidR="00000000" w:rsidDel="00000000" w:rsidP="00000000" w:rsidRDefault="00000000" w:rsidRPr="00000000" w14:paraId="000000A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Relations Code, 2020, ss 62–64.</w:t>
      </w:r>
      <w:r w:rsidDel="00000000" w:rsidR="00000000" w:rsidRPr="00000000">
        <w:rPr>
          <w:rtl w:val="0"/>
        </w:rPr>
      </w:r>
    </w:p>
  </w:footnote>
  <w:footnote w:id="27">
    <w:p w:rsidR="00000000" w:rsidDel="00000000" w:rsidP="00000000" w:rsidRDefault="00000000" w:rsidRPr="00000000" w14:paraId="000000A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Industrial Relations Code, 2020, ss 53–58.</w:t>
      </w:r>
      <w:r w:rsidDel="00000000" w:rsidR="00000000" w:rsidRPr="00000000">
        <w:rPr>
          <w:rtl w:val="0"/>
        </w:rPr>
      </w:r>
    </w:p>
  </w:footnote>
  <w:footnote w:id="28">
    <w:p w:rsidR="00000000" w:rsidDel="00000000" w:rsidP="00000000" w:rsidRDefault="00000000" w:rsidRPr="00000000" w14:paraId="000000B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Kamala Sankaran, “Labour Codes and the Changing Nature of Labour Regulation in India” (2021) Indian Journal of Labour Economics.</w:t>
      </w:r>
      <w:r w:rsidDel="00000000" w:rsidR="00000000" w:rsidRPr="00000000">
        <w:rPr>
          <w:rtl w:val="0"/>
        </w:rPr>
      </w:r>
    </w:p>
  </w:footnote>
  <w:footnote w:id="29">
    <w:p w:rsidR="00000000" w:rsidDel="00000000" w:rsidP="00000000" w:rsidRDefault="00000000" w:rsidRPr="00000000" w14:paraId="000000B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OECD, Collective Bargaining in a Changing World of Work (OECD Publishing, 2019).</w:t>
      </w:r>
      <w:r w:rsidDel="00000000" w:rsidR="00000000" w:rsidRPr="00000000">
        <w:rPr>
          <w:rtl w:val="0"/>
        </w:rPr>
      </w:r>
    </w:p>
  </w:footnote>
  <w:footnote w:id="30">
    <w:p w:rsidR="00000000" w:rsidDel="00000000" w:rsidP="00000000" w:rsidRDefault="00000000" w:rsidRPr="00000000" w14:paraId="000000B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International Labour Organization, Social Dialogue and Collective Bargaining (ILO 2018).</w:t>
      </w:r>
      <w:r w:rsidDel="00000000" w:rsidR="00000000" w:rsidRPr="00000000">
        <w:rPr>
          <w:rtl w:val="0"/>
        </w:rPr>
      </w:r>
    </w:p>
  </w:footnote>
  <w:footnote w:id="31">
    <w:p w:rsidR="00000000" w:rsidDel="00000000" w:rsidP="00000000" w:rsidRDefault="00000000" w:rsidRPr="00000000" w14:paraId="000000B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Guy Davidov, A Purposive Approach to Labour Law (Oxford University Press 2016).</w:t>
      </w:r>
      <w:r w:rsidDel="00000000" w:rsidR="00000000" w:rsidRPr="00000000">
        <w:rPr>
          <w:rtl w:val="0"/>
        </w:rPr>
      </w:r>
    </w:p>
  </w:footnote>
  <w:footnote w:id="32">
    <w:p w:rsidR="00000000" w:rsidDel="00000000" w:rsidP="00000000" w:rsidRDefault="00000000" w:rsidRPr="00000000" w14:paraId="000000B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111111"/>
          <w:sz w:val="20"/>
          <w:szCs w:val="20"/>
          <w:rtl w:val="0"/>
        </w:rPr>
        <w:t xml:space="preserve">International Labour Organization, Collective Bargaining: A Policy Guide (2015).</w:t>
      </w:r>
      <w:r w:rsidDel="00000000" w:rsidR="00000000" w:rsidRPr="00000000">
        <w:rPr>
          <w:rtl w:val="0"/>
        </w:rPr>
      </w:r>
    </w:p>
  </w:footnote>
  <w:footnote w:id="0">
    <w:p w:rsidR="00000000" w:rsidDel="00000000" w:rsidP="00000000" w:rsidRDefault="00000000" w:rsidRPr="00000000" w14:paraId="000000B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Hifza Qamar, B.A. LL.B. Student, HILSR, Jamia Hamdard University, New Delhi.</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