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C998A" w14:textId="0F1904A4" w:rsidR="002F25DA" w:rsidRPr="002F25DA" w:rsidRDefault="00CD7FA7" w:rsidP="002F25DA">
      <w:pPr>
        <w:spacing w:before="240" w:after="80"/>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Navita</w:t>
      </w:r>
      <w:r w:rsidR="009C1652">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&amp; Alok Raheja</w:t>
      </w:r>
      <w:r w:rsidR="009C1652">
        <w:rPr>
          <w:rStyle w:val="FootnoteReference"/>
          <w:rFonts w:ascii="Times New Roman" w:eastAsia="Times New Roman" w:hAnsi="Times New Roman" w:cs="Times New Roman"/>
          <w:sz w:val="24"/>
          <w:szCs w:val="24"/>
        </w:rPr>
        <w:footnoteReference w:id="2"/>
      </w:r>
    </w:p>
    <w:p w14:paraId="7FD6BF0B" w14:textId="7F6DFE61" w:rsidR="002F25DA" w:rsidRDefault="002F25DA" w:rsidP="002F25DA">
      <w:pPr>
        <w:spacing w:before="240" w:after="1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Always Available, Legally Unprotected:</w:t>
      </w:r>
    </w:p>
    <w:p w14:paraId="6C6BF51E" w14:textId="11E67676" w:rsidR="002F25DA" w:rsidRPr="002F25DA" w:rsidRDefault="002F25DA" w:rsidP="002F25DA">
      <w:pPr>
        <w:spacing w:before="240" w:after="200"/>
        <w:jc w:val="center"/>
        <w:rPr>
          <w:rFonts w:ascii="Times New Roman" w:eastAsia="Times New Roman" w:hAnsi="Times New Roman" w:cs="Times New Roman"/>
          <w:b/>
          <w:bCs/>
          <w:i/>
          <w:iCs/>
          <w:sz w:val="24"/>
          <w:szCs w:val="24"/>
        </w:rPr>
      </w:pPr>
      <w:r w:rsidRPr="002F25DA">
        <w:rPr>
          <w:rFonts w:ascii="Times New Roman" w:eastAsia="Times New Roman" w:hAnsi="Times New Roman" w:cs="Times New Roman"/>
          <w:b/>
          <w:bCs/>
          <w:i/>
          <w:iCs/>
          <w:sz w:val="24"/>
          <w:szCs w:val="24"/>
        </w:rPr>
        <w:t>Platform Work, Algorithmic Control, and the Right t</w:t>
      </w:r>
      <w:r>
        <w:rPr>
          <w:rFonts w:ascii="Times New Roman" w:eastAsia="Times New Roman" w:hAnsi="Times New Roman" w:cs="Times New Roman"/>
          <w:b/>
          <w:bCs/>
          <w:i/>
          <w:iCs/>
          <w:sz w:val="24"/>
          <w:szCs w:val="24"/>
        </w:rPr>
        <w:t>o Disconnect under India's Labo</w:t>
      </w:r>
      <w:r w:rsidRPr="002F25DA">
        <w:rPr>
          <w:rFonts w:ascii="Times New Roman" w:eastAsia="Times New Roman" w:hAnsi="Times New Roman" w:cs="Times New Roman"/>
          <w:b/>
          <w:bCs/>
          <w:i/>
          <w:iCs/>
          <w:sz w:val="24"/>
          <w:szCs w:val="24"/>
        </w:rPr>
        <w:t>r Codes</w:t>
      </w:r>
    </w:p>
    <w:p w14:paraId="00000004" w14:textId="746F0BED" w:rsidR="009C4276" w:rsidRPr="002F25DA" w:rsidRDefault="00CD7FA7" w:rsidP="002F25D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right to disconnect; gig workers; corporate culture; occupational health.</w:t>
      </w:r>
    </w:p>
    <w:p w14:paraId="00000005" w14:textId="77777777" w:rsidR="009C4276" w:rsidRDefault="00CD7FA7">
      <w:pPr>
        <w:spacing w:before="240" w:after="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14:paraId="79C85F8D" w14:textId="4D20B9C5" w:rsidR="009C1652" w:rsidRPr="002F25DA" w:rsidRDefault="00CD7FA7" w:rsidP="002F25DA">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over 200,000 delivery riders across India staged coordinated protests, compelling platforms like Blinkit to drop the ‘10-minute delivery’ model, they exposed a central paradox of India’s labour Codes: workers are digitally available at all times, but </w:t>
      </w:r>
      <w:r>
        <w:rPr>
          <w:rFonts w:ascii="Times New Roman" w:eastAsia="Times New Roman" w:hAnsi="Times New Roman" w:cs="Times New Roman"/>
          <w:sz w:val="24"/>
          <w:szCs w:val="24"/>
        </w:rPr>
        <w:t>legally entitled to disconnect at none. This paper aims to examine such paradox and the emerging acknowledgment of “</w:t>
      </w:r>
      <w:r>
        <w:rPr>
          <w:rFonts w:ascii="Times New Roman" w:eastAsia="Times New Roman" w:hAnsi="Times New Roman" w:cs="Times New Roman"/>
          <w:i/>
          <w:iCs/>
          <w:sz w:val="24"/>
          <w:szCs w:val="24"/>
        </w:rPr>
        <w:t>Right To Disconnect</w:t>
      </w:r>
      <w:r>
        <w:rPr>
          <w:rFonts w:ascii="Times New Roman" w:eastAsia="Times New Roman" w:hAnsi="Times New Roman" w:cs="Times New Roman"/>
          <w:sz w:val="24"/>
          <w:szCs w:val="24"/>
        </w:rPr>
        <w:t xml:space="preserve">” within the framework of India’s four unified Labour Codes, and the differential implications that this omission has on </w:t>
      </w:r>
      <w:r>
        <w:rPr>
          <w:rFonts w:ascii="Times New Roman" w:eastAsia="Times New Roman" w:hAnsi="Times New Roman" w:cs="Times New Roman"/>
          <w:sz w:val="24"/>
          <w:szCs w:val="24"/>
        </w:rPr>
        <w:t>gig, platform, and fixed-term workers, amidst the prevailing corporate cultures of 24/7 availability. The paper contends that the cumulative impact of legislative choice is structural: legal recognition without corresponding tangible safeguards creates a c</w:t>
      </w:r>
      <w:r>
        <w:rPr>
          <w:rFonts w:ascii="Times New Roman" w:eastAsia="Times New Roman" w:hAnsi="Times New Roman" w:cs="Times New Roman"/>
          <w:sz w:val="24"/>
          <w:szCs w:val="24"/>
        </w:rPr>
        <w:t>lass of workers who are legally visible, but in practice, susceptible to algorithmic bias and informal managerial controls. Against this domestic backdrop, the paper discusses recent policy developments, for instance, the Private Member’s Right to Disconne</w:t>
      </w:r>
      <w:r>
        <w:rPr>
          <w:rFonts w:ascii="Times New Roman" w:eastAsia="Times New Roman" w:hAnsi="Times New Roman" w:cs="Times New Roman"/>
          <w:sz w:val="24"/>
          <w:szCs w:val="24"/>
        </w:rPr>
        <w:t>ct Bill introduced in the Lok Sabha and state-level initiatives (notably Kerala’s proposed Right to Disconnect Bill, 2025) as indicative of an emergent statutory response to digital overtime. The paper also compares India’s response with European models (F</w:t>
      </w:r>
      <w:r>
        <w:rPr>
          <w:rFonts w:ascii="Times New Roman" w:eastAsia="Times New Roman" w:hAnsi="Times New Roman" w:cs="Times New Roman"/>
          <w:sz w:val="24"/>
          <w:szCs w:val="24"/>
        </w:rPr>
        <w:t>rance’s Law on Right to Disconnect) to draw attention to design choices that are critical to organizational implementation in India. To further illustrate the policy necessity of a right to disconnect, the paper considers empirical findings on overwork, in</w:t>
      </w:r>
      <w:r>
        <w:rPr>
          <w:rFonts w:ascii="Times New Roman" w:eastAsia="Times New Roman" w:hAnsi="Times New Roman" w:cs="Times New Roman"/>
          <w:sz w:val="24"/>
          <w:szCs w:val="24"/>
        </w:rPr>
        <w:t>cluding recent ILO statistics showing long average weekly hours worked in India. The study concludes with doctrinal recommendations, such as incorporating a right to disconnect in the Labor Codes, protecting fixed-term and gig workers from after-hours perf</w:t>
      </w:r>
      <w:r>
        <w:rPr>
          <w:rFonts w:ascii="Times New Roman" w:eastAsia="Times New Roman" w:hAnsi="Times New Roman" w:cs="Times New Roman"/>
          <w:sz w:val="24"/>
          <w:szCs w:val="24"/>
        </w:rPr>
        <w:t>ormance metrics, and imposing company-level disconnect charters. Consequently, these measures would align India’s labour legislative framework with global standards while addressing the twin concerns of precarious contractual forms and corporate cultures t</w:t>
      </w:r>
      <w:r>
        <w:rPr>
          <w:rFonts w:ascii="Times New Roman" w:eastAsia="Times New Roman" w:hAnsi="Times New Roman" w:cs="Times New Roman"/>
          <w:sz w:val="24"/>
          <w:szCs w:val="24"/>
        </w:rPr>
        <w:t>hat normalise continuous availability.</w:t>
      </w:r>
      <w:r w:rsidR="009C1652">
        <w:rPr>
          <w:rFonts w:ascii="Times New Roman" w:eastAsia="Times New Roman" w:hAnsi="Times New Roman" w:cs="Times New Roman"/>
          <w:b/>
          <w:bCs/>
          <w:sz w:val="24"/>
          <w:szCs w:val="24"/>
        </w:rPr>
        <w:br w:type="page"/>
      </w:r>
    </w:p>
    <w:p w14:paraId="00000007" w14:textId="4B73A3A4" w:rsidR="009C4276" w:rsidRDefault="009C1652" w:rsidP="003B1C0C">
      <w:pPr>
        <w:pBdr>
          <w:bottom w:val="single" w:sz="4" w:space="1" w:color="auto"/>
        </w:pBd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I. </w:t>
      </w:r>
      <w:r w:rsidR="00CD7FA7">
        <w:rPr>
          <w:rFonts w:ascii="Times New Roman" w:eastAsia="Times New Roman" w:hAnsi="Times New Roman" w:cs="Times New Roman"/>
          <w:b/>
          <w:bCs/>
          <w:sz w:val="24"/>
          <w:szCs w:val="24"/>
        </w:rPr>
        <w:t>Introduction: The Algorithm as Factory Whistle</w:t>
      </w:r>
    </w:p>
    <w:p w14:paraId="00000008" w14:textId="628C3904"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Platfor</w:t>
      </w:r>
      <w:r w:rsidR="009C1652">
        <w:rPr>
          <w:rFonts w:ascii="Times New Roman" w:eastAsia="Times New Roman" w:hAnsi="Times New Roman" w:cs="Times New Roman"/>
          <w:sz w:val="24"/>
          <w:szCs w:val="24"/>
        </w:rPr>
        <w:t>m work has generated a new labo</w:t>
      </w:r>
      <w:r>
        <w:rPr>
          <w:rFonts w:ascii="Times New Roman" w:eastAsia="Times New Roman" w:hAnsi="Times New Roman" w:cs="Times New Roman"/>
          <w:sz w:val="24"/>
          <w:szCs w:val="24"/>
        </w:rPr>
        <w:t>r paradox, where workers are inherently expected to stay available to the algorithm, yet the law offers them no right to disconnect</w:t>
      </w:r>
      <w:r>
        <w:rPr>
          <w:rFonts w:ascii="Times New Roman" w:eastAsia="Times New Roman" w:hAnsi="Times New Roman" w:cs="Times New Roman"/>
          <w:sz w:val="24"/>
          <w:szCs w:val="24"/>
        </w:rPr>
        <w:t>. In the dynamic and rapidly evolving society, smartphones have taken over the industrial floor character, instead of traditional brick and mortar factories. Through digital platforms, algorithms now perform majority of roles which were traditionally assoc</w:t>
      </w:r>
      <w:r>
        <w:rPr>
          <w:rFonts w:ascii="Times New Roman" w:eastAsia="Times New Roman" w:hAnsi="Times New Roman" w:cs="Times New Roman"/>
          <w:sz w:val="24"/>
          <w:szCs w:val="24"/>
        </w:rPr>
        <w:t>iated with employers. This includes acting as a supervisor, performance evaluator, and allocating tasks for gig and platform workers, such as delivery riders on Swiggy and Zomato, cab drivers on Ola and Uber, and independent contractors on Urban Company. U</w:t>
      </w:r>
      <w:r>
        <w:rPr>
          <w:rFonts w:ascii="Times New Roman" w:eastAsia="Times New Roman" w:hAnsi="Times New Roman" w:cs="Times New Roman"/>
          <w:sz w:val="24"/>
          <w:szCs w:val="24"/>
        </w:rPr>
        <w:t>nlike the factory whistle of industrial capitalism, which clearly outlined the starting and closing of the working day, the algorithmic mechanism operates without temporal boundaries.</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Considering the fact that a huge amount of workers are employed in this</w:t>
      </w:r>
      <w:r>
        <w:rPr>
          <w:rFonts w:ascii="Times New Roman" w:eastAsia="Times New Roman" w:hAnsi="Times New Roman" w:cs="Times New Roman"/>
          <w:sz w:val="24"/>
          <w:szCs w:val="24"/>
        </w:rPr>
        <w:t xml:space="preserve"> digital industry, it becomes imperative to analyze the safeguards provided to them. </w:t>
      </w:r>
    </w:p>
    <w:p w14:paraId="00000009"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by NITI Aayog indicates that there were approximately 7.7 million gig workers in India in 2020–2021; and by 2029–2030, that number is expected to rise to 23.5 millio</w:t>
      </w:r>
      <w:r>
        <w:rPr>
          <w:rFonts w:ascii="Times New Roman" w:eastAsia="Times New Roman" w:hAnsi="Times New Roman" w:cs="Times New Roman"/>
          <w:sz w:val="24"/>
          <w:szCs w:val="24"/>
        </w:rPr>
        <w:t>n.</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A 2022 ILO report, platform and informal workers routinely log in more than 60–70 hours per week, with an average of 47.7 hours, which is among the highest globally.</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Further, a 2021 joint study by the World Health Organization and ILO reported that wo</w:t>
      </w:r>
      <w:r>
        <w:rPr>
          <w:rFonts w:ascii="Times New Roman" w:eastAsia="Times New Roman" w:hAnsi="Times New Roman" w:cs="Times New Roman"/>
          <w:sz w:val="24"/>
          <w:szCs w:val="24"/>
        </w:rPr>
        <w:t>rking 55 or more hours a week is linked to a 17% higher risk of ischemic heart disease and a 35% higher risk of stroke compared to working 35–40 hours.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For the organized sector, which may engage in collective bargaining and invoke working-time protections</w:t>
      </w:r>
      <w:r>
        <w:rPr>
          <w:rFonts w:ascii="Times New Roman" w:eastAsia="Times New Roman" w:hAnsi="Times New Roman" w:cs="Times New Roman"/>
          <w:sz w:val="24"/>
          <w:szCs w:val="24"/>
        </w:rPr>
        <w:t>, this is hardly a problem. India's four Labour Codes, which were passed between 2019 and 2020, are structurally ill-equipped to handle this situation, which primarily affects gig and platform workers.</w:t>
      </w:r>
    </w:p>
    <w:p w14:paraId="0000000A"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specific legal tool that democratic legal regimes </w:t>
      </w:r>
      <w:r>
        <w:rPr>
          <w:rFonts w:ascii="Times New Roman" w:eastAsia="Times New Roman" w:hAnsi="Times New Roman" w:cs="Times New Roman"/>
          <w:sz w:val="24"/>
          <w:szCs w:val="24"/>
        </w:rPr>
        <w:t xml:space="preserve">have started to address algorithmic overwork is the right to disconnect, which is the legal entitlement to disengage from work-related digital communication outside of contractually agreed-upon hours without facing negative consequences. </w:t>
      </w:r>
      <w:r>
        <w:rPr>
          <w:rFonts w:ascii="Times New Roman" w:eastAsia="Times New Roman" w:hAnsi="Times New Roman" w:cs="Times New Roman"/>
          <w:sz w:val="24"/>
          <w:szCs w:val="24"/>
        </w:rPr>
        <w:lastRenderedPageBreak/>
        <w:t>However, none of I</w:t>
      </w:r>
      <w:r>
        <w:rPr>
          <w:rFonts w:ascii="Times New Roman" w:eastAsia="Times New Roman" w:hAnsi="Times New Roman" w:cs="Times New Roman"/>
          <w:sz w:val="24"/>
          <w:szCs w:val="24"/>
        </w:rPr>
        <w:t>ndia's four labor codes make use of the term, discuss the risk, or establish a system for enforcing it. This paper argues that this omission is not incidental: the Labour Codes' classificatory architecture, which defines "worker," "working time," and "esta</w:t>
      </w:r>
      <w:r>
        <w:rPr>
          <w:rFonts w:ascii="Times New Roman" w:eastAsia="Times New Roman" w:hAnsi="Times New Roman" w:cs="Times New Roman"/>
          <w:sz w:val="24"/>
          <w:szCs w:val="24"/>
        </w:rPr>
        <w:t>blishment," was created for a time when factory floor labor was the norm. As a result, gig and platform workers, the very population most adversely affected by digital overwork,are consistently left out of protection.</w:t>
      </w:r>
    </w:p>
    <w:p w14:paraId="0000000B" w14:textId="1BE1A3D4" w:rsidR="009C4276" w:rsidRDefault="003B1C0C" w:rsidP="003B1C0C">
      <w:pPr>
        <w:pStyle w:val="Heading1"/>
        <w:keepNext w:val="0"/>
        <w:keepLines w:val="0"/>
        <w:pBdr>
          <w:bottom w:val="single" w:sz="4" w:space="1" w:color="auto"/>
        </w:pBdr>
        <w:spacing w:before="480"/>
        <w:rPr>
          <w:rFonts w:ascii="Times New Roman" w:eastAsia="Times New Roman" w:hAnsi="Times New Roman" w:cs="Times New Roman"/>
          <w:b/>
          <w:bCs/>
          <w:sz w:val="24"/>
          <w:szCs w:val="24"/>
        </w:rPr>
      </w:pPr>
      <w:bookmarkStart w:id="1" w:name="_jjwd3hybee7b" w:colFirst="0" w:colLast="0"/>
      <w:bookmarkEnd w:id="1"/>
      <w:r>
        <w:rPr>
          <w:rFonts w:ascii="Times New Roman" w:eastAsia="Times New Roman" w:hAnsi="Times New Roman" w:cs="Times New Roman"/>
          <w:b/>
          <w:bCs/>
          <w:sz w:val="24"/>
          <w:szCs w:val="24"/>
        </w:rPr>
        <w:t>II. The Right to Disconnect:</w:t>
      </w:r>
    </w:p>
    <w:p w14:paraId="0000000C"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2" w:name="_3gwpaeoix5z2" w:colFirst="0" w:colLast="0"/>
      <w:bookmarkEnd w:id="2"/>
      <w:r>
        <w:rPr>
          <w:rFonts w:ascii="Times New Roman" w:eastAsia="Times New Roman" w:hAnsi="Times New Roman" w:cs="Times New Roman"/>
          <w:b/>
          <w:bCs/>
          <w:sz w:val="24"/>
          <w:szCs w:val="24"/>
        </w:rPr>
        <w:t>2.1 Temporal Sovereignty and the Gig Worker</w:t>
      </w:r>
    </w:p>
    <w:p w14:paraId="0000000D"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fundamental agreement of an employment contract (the exchange of defined labor time for wages) logically implies the worker's entitlement to reclaim time not</w:t>
      </w:r>
      <w:r>
        <w:rPr>
          <w:rFonts w:ascii="Times New Roman" w:eastAsia="Times New Roman" w:hAnsi="Times New Roman" w:cs="Times New Roman"/>
          <w:sz w:val="24"/>
          <w:szCs w:val="24"/>
        </w:rPr>
        <w:t xml:space="preserve"> contracted to the employer. Guy Davidov has referred to this as the "temporal sovereignty" of the worker, which is the theoretical foundation of the right to disconnect.</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This agreement is broken by digital overtime, which is the extension of the working </w:t>
      </w:r>
      <w:r>
        <w:rPr>
          <w:rFonts w:ascii="Times New Roman" w:eastAsia="Times New Roman" w:hAnsi="Times New Roman" w:cs="Times New Roman"/>
          <w:sz w:val="24"/>
          <w:szCs w:val="24"/>
        </w:rPr>
        <w:t>day through informal digital communication without paying the employee or without the worker's meaningful consent.</w:t>
      </w:r>
    </w:p>
    <w:p w14:paraId="0000000E"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platform worker's contractual arrangement rejects the Davidovian bargain's fundamental tenet that there is no set working day, no fixed h</w:t>
      </w:r>
      <w:r>
        <w:rPr>
          <w:rFonts w:ascii="Times New Roman" w:eastAsia="Times New Roman" w:hAnsi="Times New Roman" w:cs="Times New Roman"/>
          <w:sz w:val="24"/>
          <w:szCs w:val="24"/>
        </w:rPr>
        <w:t xml:space="preserve">ours, and no compensation for time rather than task. Therefore, a gig worker's right to disconnect necessitates not only the preservation of contracted hours, as it does for a salaried employee, but also the prior legal recognition that the worker has any </w:t>
      </w:r>
      <w:r>
        <w:rPr>
          <w:rFonts w:ascii="Times New Roman" w:eastAsia="Times New Roman" w:hAnsi="Times New Roman" w:cs="Times New Roman"/>
          <w:sz w:val="24"/>
          <w:szCs w:val="24"/>
        </w:rPr>
        <w:t>temporal sovereign rights at all. Consequently, the availability-time gap in the Wages Code and the right to disconnect are a single problem rather than two separate ones: the gig worker has no legally recognized rest period to safeguard through a right to</w:t>
      </w:r>
      <w:r>
        <w:rPr>
          <w:rFonts w:ascii="Times New Roman" w:eastAsia="Times New Roman" w:hAnsi="Times New Roman" w:cs="Times New Roman"/>
          <w:sz w:val="24"/>
          <w:szCs w:val="24"/>
        </w:rPr>
        <w:t xml:space="preserve"> disconnect until availability time is acknowledged as working time.</w:t>
      </w:r>
    </w:p>
    <w:p w14:paraId="00000013" w14:textId="37BEB45E" w:rsidR="009C4276" w:rsidRDefault="003B1C0C">
      <w:pPr>
        <w:pStyle w:val="Heading2"/>
        <w:keepNext w:val="0"/>
        <w:keepLines w:val="0"/>
        <w:spacing w:after="80"/>
        <w:rPr>
          <w:rFonts w:ascii="Times New Roman" w:eastAsia="Times New Roman" w:hAnsi="Times New Roman" w:cs="Times New Roman"/>
          <w:b/>
          <w:bCs/>
          <w:sz w:val="24"/>
          <w:szCs w:val="24"/>
        </w:rPr>
      </w:pPr>
      <w:bookmarkStart w:id="3" w:name="_vh4d3ndz1mis" w:colFirst="0" w:colLast="0"/>
      <w:bookmarkEnd w:id="3"/>
      <w:r>
        <w:rPr>
          <w:rFonts w:ascii="Times New Roman" w:eastAsia="Times New Roman" w:hAnsi="Times New Roman" w:cs="Times New Roman"/>
          <w:b/>
          <w:bCs/>
          <w:sz w:val="24"/>
          <w:szCs w:val="24"/>
        </w:rPr>
        <w:t>2.2</w:t>
      </w:r>
      <w:r w:rsidR="00CD7FA7">
        <w:rPr>
          <w:rFonts w:ascii="Times New Roman" w:eastAsia="Times New Roman" w:hAnsi="Times New Roman" w:cs="Times New Roman"/>
          <w:b/>
          <w:bCs/>
          <w:sz w:val="24"/>
          <w:szCs w:val="24"/>
        </w:rPr>
        <w:t xml:space="preserve"> Judicial Intimations and the Right to Disconnect</w:t>
      </w:r>
    </w:p>
    <w:p w14:paraId="00000014"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no Indian court has explicitly acknowledged the right to disconnect, a number of rulings offer theoretical foundations for its constitutional d</w:t>
      </w:r>
      <w:r>
        <w:rPr>
          <w:rFonts w:ascii="Times New Roman" w:eastAsia="Times New Roman" w:hAnsi="Times New Roman" w:cs="Times New Roman"/>
          <w:sz w:val="24"/>
          <w:szCs w:val="24"/>
        </w:rPr>
        <w:t xml:space="preserve">evelopment. In </w:t>
      </w:r>
      <w:r>
        <w:rPr>
          <w:rFonts w:ascii="Times New Roman" w:eastAsia="Times New Roman" w:hAnsi="Times New Roman" w:cs="Times New Roman"/>
          <w:i/>
          <w:iCs/>
          <w:sz w:val="24"/>
          <w:szCs w:val="24"/>
        </w:rPr>
        <w:t xml:space="preserve">Uber India Systems Pvta. Ltd. </w:t>
      </w:r>
      <w:r>
        <w:rPr>
          <w:rFonts w:ascii="Times New Roman" w:eastAsia="Times New Roman" w:hAnsi="Times New Roman" w:cs="Times New Roman"/>
          <w:i/>
          <w:iCs/>
          <w:sz w:val="24"/>
          <w:szCs w:val="24"/>
        </w:rPr>
        <w:lastRenderedPageBreak/>
        <w:t>v. Commissioner of Labour, Telangana</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The Telangana High Court observed that Uber's algorithmic control, real-time GPS tracking, rating systems, and task-assignment were all compatible with the signs of an empl</w:t>
      </w:r>
      <w:r>
        <w:rPr>
          <w:rFonts w:ascii="Times New Roman" w:eastAsia="Times New Roman" w:hAnsi="Times New Roman" w:cs="Times New Roman"/>
          <w:sz w:val="24"/>
          <w:szCs w:val="24"/>
        </w:rPr>
        <w:t>oyment relationship.</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Although working-time rights were not addressed in the ruling, its control-related logic is directly applicable. According to the same reasoning, a court that is willing to find employment-like control for categorization reasons ought</w:t>
      </w:r>
      <w:r>
        <w:rPr>
          <w:rFonts w:ascii="Times New Roman" w:eastAsia="Times New Roman" w:hAnsi="Times New Roman" w:cs="Times New Roman"/>
          <w:sz w:val="24"/>
          <w:szCs w:val="24"/>
        </w:rPr>
        <w:t xml:space="preserve"> to be willing to find employment-like working-time requirements.</w:t>
      </w:r>
    </w:p>
    <w:p w14:paraId="00000015"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Irish High Court's decision in </w:t>
      </w:r>
      <w:r>
        <w:rPr>
          <w:rFonts w:ascii="Times New Roman" w:eastAsia="Times New Roman" w:hAnsi="Times New Roman" w:cs="Times New Roman"/>
          <w:i/>
          <w:iCs/>
          <w:sz w:val="24"/>
          <w:szCs w:val="24"/>
        </w:rPr>
        <w:t>SIPTU v. Health Service Executive</w:t>
      </w:r>
      <w:r>
        <w:rPr>
          <w:rFonts w:ascii="Times New Roman" w:eastAsia="Times New Roman" w:hAnsi="Times New Roman" w:cs="Times New Roman"/>
          <w:sz w:val="24"/>
          <w:szCs w:val="24"/>
        </w:rPr>
        <w:t>, it was observed that  even in the absence of clear right-to-disconnect rules, systematic after-hours communication with healthcare professionals was found to violate the Organisation of Working Time Act, 1997.</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An injunction compelling the employer to st</w:t>
      </w:r>
      <w:r>
        <w:rPr>
          <w:rFonts w:ascii="Times New Roman" w:eastAsia="Times New Roman" w:hAnsi="Times New Roman" w:cs="Times New Roman"/>
          <w:sz w:val="24"/>
          <w:szCs w:val="24"/>
        </w:rPr>
        <w:t xml:space="preserve">op the practice was issued by the court. This shows that the OSH Code's working-hours rules and the constitutional framework of </w:t>
      </w:r>
      <w:r>
        <w:rPr>
          <w:rFonts w:ascii="Times New Roman" w:eastAsia="Times New Roman" w:hAnsi="Times New Roman" w:cs="Times New Roman"/>
          <w:i/>
          <w:iCs/>
          <w:sz w:val="24"/>
          <w:szCs w:val="24"/>
        </w:rPr>
        <w:t>Bandhua Mukti Morcha and Consumer Education</w:t>
      </w:r>
      <w:r>
        <w:rPr>
          <w:rFonts w:ascii="Times New Roman" w:eastAsia="Times New Roman" w:hAnsi="Times New Roman" w:cs="Times New Roman"/>
          <w:sz w:val="24"/>
          <w:szCs w:val="24"/>
        </w:rPr>
        <w:t xml:space="preserve"> allow Indian courts to interpret working-time regulations in a purposeful manner to </w:t>
      </w:r>
      <w:r>
        <w:rPr>
          <w:rFonts w:ascii="Times New Roman" w:eastAsia="Times New Roman" w:hAnsi="Times New Roman" w:cs="Times New Roman"/>
          <w:sz w:val="24"/>
          <w:szCs w:val="24"/>
        </w:rPr>
        <w:t>address digital overwork.</w:t>
      </w:r>
    </w:p>
    <w:p w14:paraId="00000016" w14:textId="302AD1CA" w:rsidR="009C4276" w:rsidRDefault="003B1C0C" w:rsidP="003B1C0C">
      <w:pPr>
        <w:pStyle w:val="Heading1"/>
        <w:keepNext w:val="0"/>
        <w:keepLines w:val="0"/>
        <w:pBdr>
          <w:bottom w:val="single" w:sz="4" w:space="1" w:color="auto"/>
        </w:pBdr>
        <w:spacing w:before="480"/>
        <w:rPr>
          <w:rFonts w:ascii="Times New Roman" w:eastAsia="Times New Roman" w:hAnsi="Times New Roman" w:cs="Times New Roman"/>
          <w:b/>
          <w:bCs/>
          <w:sz w:val="24"/>
          <w:szCs w:val="24"/>
        </w:rPr>
      </w:pPr>
      <w:bookmarkStart w:id="4" w:name="_t28wwcihwlsq" w:colFirst="0" w:colLast="0"/>
      <w:bookmarkEnd w:id="4"/>
      <w:r>
        <w:rPr>
          <w:rFonts w:ascii="Times New Roman" w:eastAsia="Times New Roman" w:hAnsi="Times New Roman" w:cs="Times New Roman"/>
          <w:b/>
          <w:bCs/>
          <w:sz w:val="24"/>
          <w:szCs w:val="24"/>
        </w:rPr>
        <w:t>III. The Labo</w:t>
      </w:r>
      <w:r w:rsidR="00CD7FA7">
        <w:rPr>
          <w:rFonts w:ascii="Times New Roman" w:eastAsia="Times New Roman" w:hAnsi="Times New Roman" w:cs="Times New Roman"/>
          <w:b/>
          <w:bCs/>
          <w:sz w:val="24"/>
          <w:szCs w:val="24"/>
        </w:rPr>
        <w:t xml:space="preserve">r Codes' Classificatory Architecture and Its </w:t>
      </w:r>
      <w:r w:rsidR="00CD7FA7">
        <w:rPr>
          <w:rFonts w:ascii="Times New Roman" w:eastAsia="Times New Roman" w:hAnsi="Times New Roman" w:cs="Times New Roman"/>
          <w:b/>
          <w:bCs/>
          <w:sz w:val="24"/>
          <w:szCs w:val="24"/>
        </w:rPr>
        <w:t>Impact on Gig Workers</w:t>
      </w:r>
    </w:p>
    <w:p w14:paraId="00000017"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5" w:name="_uz0i8cipl5xi" w:colFirst="0" w:colLast="0"/>
      <w:bookmarkEnd w:id="5"/>
      <w:r>
        <w:rPr>
          <w:rFonts w:ascii="Times New Roman" w:eastAsia="Times New Roman" w:hAnsi="Times New Roman" w:cs="Times New Roman"/>
          <w:b/>
          <w:bCs/>
          <w:sz w:val="24"/>
          <w:szCs w:val="24"/>
        </w:rPr>
        <w:t>3.1 The Codification Project: Rationalisation Without Digital Reckoning</w:t>
      </w:r>
    </w:p>
    <w:p w14:paraId="00000018"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National Commission on Labour (2002), whose mandate w</w:t>
      </w:r>
      <w:r>
        <w:rPr>
          <w:rFonts w:ascii="Times New Roman" w:eastAsia="Times New Roman" w:hAnsi="Times New Roman" w:cs="Times New Roman"/>
          <w:sz w:val="24"/>
          <w:szCs w:val="24"/>
        </w:rPr>
        <w:t>as to simplify and rationalise labor laws, suggested the consolidation of forty-four central labour laws into four Codes.</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The resulting Codes: the Code on Wages, 2019 ('Wages Code');</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the Industrial Relations Code, 2020 ('IR Code');</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the Code on Social Se</w:t>
      </w:r>
      <w:r>
        <w:rPr>
          <w:rFonts w:ascii="Times New Roman" w:eastAsia="Times New Roman" w:hAnsi="Times New Roman" w:cs="Times New Roman"/>
          <w:sz w:val="24"/>
          <w:szCs w:val="24"/>
        </w:rPr>
        <w:t>curity, 2020 ('SS Code');</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and the Occupational Safety, Health and Working Conditions Code, 2020 ('OSH Code')</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were enacted shortly thereafter the gig economy in India marked a turning point. Yet, none of the four codes mentions algorithmic management or d</w:t>
      </w:r>
      <w:r>
        <w:rPr>
          <w:rFonts w:ascii="Times New Roman" w:eastAsia="Times New Roman" w:hAnsi="Times New Roman" w:cs="Times New Roman"/>
          <w:sz w:val="24"/>
          <w:szCs w:val="24"/>
        </w:rPr>
        <w:t xml:space="preserve">igital overtime, nor do they contain the phrase "right to disconnect." This </w:t>
      </w:r>
      <w:r>
        <w:rPr>
          <w:rFonts w:ascii="Times New Roman" w:eastAsia="Times New Roman" w:hAnsi="Times New Roman" w:cs="Times New Roman"/>
          <w:sz w:val="24"/>
          <w:szCs w:val="24"/>
        </w:rPr>
        <w:lastRenderedPageBreak/>
        <w:t>omission, as a matter of fact, is not neutral. The definitional selections outlined in each Code, which cater to the industrial businesses with physical locations and recognized em</w:t>
      </w:r>
      <w:r>
        <w:rPr>
          <w:rFonts w:ascii="Times New Roman" w:eastAsia="Times New Roman" w:hAnsi="Times New Roman" w:cs="Times New Roman"/>
          <w:sz w:val="24"/>
          <w:szCs w:val="24"/>
        </w:rPr>
        <w:t>ployers, structurally exclude platform workers from working-time safeguards, thereby making the right to disconnect inaccessible precisely to those who need it most.</w:t>
      </w:r>
    </w:p>
    <w:p w14:paraId="00000019"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6" w:name="_u239l5y9q11j" w:colFirst="0" w:colLast="0"/>
      <w:bookmarkEnd w:id="6"/>
      <w:r>
        <w:rPr>
          <w:rFonts w:ascii="Times New Roman" w:eastAsia="Times New Roman" w:hAnsi="Times New Roman" w:cs="Times New Roman"/>
          <w:b/>
          <w:bCs/>
          <w:sz w:val="24"/>
          <w:szCs w:val="24"/>
        </w:rPr>
        <w:t xml:space="preserve">3.2 The Code on Wages, 2019: </w:t>
      </w:r>
    </w:p>
    <w:p w14:paraId="0000001A" w14:textId="04F0EEBA"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Section 14 of the Wages Code mandates overtime wages at twice the ordinary rate for work in excess of normal working hours.</w:t>
      </w:r>
      <w:r>
        <w:rPr>
          <w:rFonts w:ascii="Times New Roman" w:eastAsia="Times New Roman" w:hAnsi="Times New Roman" w:cs="Times New Roman"/>
          <w:sz w:val="24"/>
          <w:szCs w:val="24"/>
          <w:vertAlign w:val="superscript"/>
        </w:rPr>
        <w:footnoteReference w:id="16"/>
      </w:r>
      <w:r w:rsidR="003B1C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Nevertheless, the Code delegates the duty of defining "normal working hours" to the relevant authorities.</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For gig workers, this del</w:t>
      </w:r>
      <w:r>
        <w:rPr>
          <w:rFonts w:ascii="Times New Roman" w:eastAsia="Times New Roman" w:hAnsi="Times New Roman" w:cs="Times New Roman"/>
          <w:sz w:val="24"/>
          <w:szCs w:val="24"/>
        </w:rPr>
        <w:t>egation gap is only the beginning of the problem. The definition of "wages" in Section 2(y) and "worker" in Section 2(z) present a more fundamental challenge. A worker is defined in Section 2(z) as any anyone hired for manual, operational, technical, skill</w:t>
      </w:r>
      <w:r>
        <w:rPr>
          <w:rFonts w:ascii="Times New Roman" w:eastAsia="Times New Roman" w:hAnsi="Times New Roman" w:cs="Times New Roman"/>
          <w:sz w:val="24"/>
          <w:szCs w:val="24"/>
        </w:rPr>
        <w:t>ed, or unskilled work; however, individuals in managerial or administrative positions are not included.</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Since platform-based labor is usually organized through independent contracting agreements rather than official employer-employee relationships, gig wo</w:t>
      </w:r>
      <w:r>
        <w:rPr>
          <w:rFonts w:ascii="Times New Roman" w:eastAsia="Times New Roman" w:hAnsi="Times New Roman" w:cs="Times New Roman"/>
          <w:sz w:val="24"/>
          <w:szCs w:val="24"/>
        </w:rPr>
        <w:t>rkers are not specifically covered by this definition.</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they fall outside the employment binary that the definition presupposes.</w:t>
      </w:r>
    </w:p>
    <w:p w14:paraId="0000001B" w14:textId="69ED4884"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paper refers to the structural consequence as the "availability time lacuna."</w:t>
      </w:r>
      <w:r w:rsidR="009C16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According to Swiggy's contractual characteriz</w:t>
      </w:r>
      <w:r>
        <w:rPr>
          <w:rFonts w:ascii="Times New Roman" w:eastAsia="Times New Roman" w:hAnsi="Times New Roman" w:cs="Times New Roman"/>
          <w:sz w:val="24"/>
          <w:szCs w:val="24"/>
        </w:rPr>
        <w:t>ation, a delivery rider who is logged on is "available" to accept orders but is not yet "working." Instead of paying by the hour on the app, platforms pay by the completed delivery.</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The intermittent nature of algorithmic task-assignment creates a grey zon</w:t>
      </w:r>
      <w:r>
        <w:rPr>
          <w:rFonts w:ascii="Times New Roman" w:eastAsia="Times New Roman" w:hAnsi="Times New Roman" w:cs="Times New Roman"/>
          <w:sz w:val="24"/>
          <w:szCs w:val="24"/>
        </w:rPr>
        <w:t>e between availability and work through which platforms escape overtime liability.</w:t>
      </w:r>
      <w:r w:rsidR="009C16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is similar to the pre-legislative ambiguity that the UK Supreme Court settled in Uber BV v. Aslam, ruling that Uber drivers were "workers" rather than independent contra</w:t>
      </w:r>
      <w:r>
        <w:rPr>
          <w:rFonts w:ascii="Times New Roman" w:eastAsia="Times New Roman" w:hAnsi="Times New Roman" w:cs="Times New Roman"/>
          <w:sz w:val="24"/>
          <w:szCs w:val="24"/>
        </w:rPr>
        <w:t xml:space="preserve">ctors and that, for the purposes of the National Minimum Wage Regulations, time spent logged into the app constituted working </w:t>
      </w:r>
      <w:r>
        <w:rPr>
          <w:rFonts w:ascii="Times New Roman" w:eastAsia="Times New Roman" w:hAnsi="Times New Roman" w:cs="Times New Roman"/>
          <w:sz w:val="24"/>
          <w:szCs w:val="24"/>
        </w:rPr>
        <w:lastRenderedPageBreak/>
        <w:t>time.</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No Indian court has rendered an equivalent decision, and the definitional framework of the Wages Code offers no basis for o</w:t>
      </w:r>
      <w:r>
        <w:rPr>
          <w:rFonts w:ascii="Times New Roman" w:eastAsia="Times New Roman" w:hAnsi="Times New Roman" w:cs="Times New Roman"/>
          <w:sz w:val="24"/>
          <w:szCs w:val="24"/>
        </w:rPr>
        <w:t>ne.</w:t>
      </w:r>
    </w:p>
    <w:p w14:paraId="0000001C"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gap is intrinsically linked to the right to disconnect: an employee whose "availability time" is not considered working time does not have a legally recognized working day to which a right of disconnection could be attached. The legal recognition </w:t>
      </w:r>
      <w:r>
        <w:rPr>
          <w:rFonts w:ascii="Times New Roman" w:eastAsia="Times New Roman" w:hAnsi="Times New Roman" w:cs="Times New Roman"/>
          <w:sz w:val="24"/>
          <w:szCs w:val="24"/>
        </w:rPr>
        <w:t>of availability time as working time is a prerequisite for a gig worker's right to disconnect, and the Wages Code as it is currently drafted does not grant this recognition. Therefore, the two gaps form a single, accumulating structural exclusion rather th</w:t>
      </w:r>
      <w:r>
        <w:rPr>
          <w:rFonts w:ascii="Times New Roman" w:eastAsia="Times New Roman" w:hAnsi="Times New Roman" w:cs="Times New Roman"/>
          <w:sz w:val="24"/>
          <w:szCs w:val="24"/>
        </w:rPr>
        <w:t>an distinct statutory oversights.</w:t>
      </w:r>
    </w:p>
    <w:p w14:paraId="0000001D"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7" w:name="_64uhl54b5if6" w:colFirst="0" w:colLast="0"/>
      <w:bookmarkEnd w:id="7"/>
      <w:r>
        <w:rPr>
          <w:rFonts w:ascii="Times New Roman" w:eastAsia="Times New Roman" w:hAnsi="Times New Roman" w:cs="Times New Roman"/>
          <w:b/>
          <w:bCs/>
          <w:sz w:val="24"/>
          <w:szCs w:val="24"/>
        </w:rPr>
        <w:t xml:space="preserve">3.3 The Industrial Relations Code, 2020: </w:t>
      </w:r>
    </w:p>
    <w:p w14:paraId="0000001E"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Section 29 of the IR Code mandates establishments employing 300 or more workers to have certified standing orders outlining working hours, attendance criteria, leave policies, amon</w:t>
      </w:r>
      <w:r>
        <w:rPr>
          <w:rFonts w:ascii="Times New Roman" w:eastAsia="Times New Roman" w:hAnsi="Times New Roman" w:cs="Times New Roman"/>
          <w:sz w:val="24"/>
          <w:szCs w:val="24"/>
        </w:rPr>
        <w:t>g other things.</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However, there is no clause in the Central Government's Model Standing Orders that requires employers to lay out expectations for after-hours contact or that prohibits penalization for non-response during off-hours. This omission is notewo</w:t>
      </w:r>
      <w:r>
        <w:rPr>
          <w:rFonts w:ascii="Times New Roman" w:eastAsia="Times New Roman" w:hAnsi="Times New Roman" w:cs="Times New Roman"/>
          <w:sz w:val="24"/>
          <w:szCs w:val="24"/>
        </w:rPr>
        <w:t>rthy since standing orders are the primary instrument used in Indian industrial establishments to manage workplace behavior, and their silence on digital access normalizes the assumption of continuous connectivity.</w:t>
      </w:r>
      <w:r>
        <w:rPr>
          <w:rFonts w:ascii="Times New Roman" w:eastAsia="Times New Roman" w:hAnsi="Times New Roman" w:cs="Times New Roman"/>
          <w:sz w:val="24"/>
          <w:szCs w:val="24"/>
          <w:vertAlign w:val="superscript"/>
        </w:rPr>
        <w:footnoteReference w:id="23"/>
      </w:r>
    </w:p>
    <w:p w14:paraId="0000001F"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8" w:name="_jmwpngs56wua" w:colFirst="0" w:colLast="0"/>
      <w:bookmarkEnd w:id="8"/>
      <w:r>
        <w:rPr>
          <w:rFonts w:ascii="Times New Roman" w:eastAsia="Times New Roman" w:hAnsi="Times New Roman" w:cs="Times New Roman"/>
          <w:b/>
          <w:bCs/>
          <w:sz w:val="24"/>
          <w:szCs w:val="24"/>
        </w:rPr>
        <w:t>3.4 The Code on Social Security, 2020: R</w:t>
      </w:r>
      <w:r>
        <w:rPr>
          <w:rFonts w:ascii="Times New Roman" w:eastAsia="Times New Roman" w:hAnsi="Times New Roman" w:cs="Times New Roman"/>
          <w:b/>
          <w:bCs/>
          <w:sz w:val="24"/>
          <w:szCs w:val="24"/>
        </w:rPr>
        <w:t>ecognition Without Working-Time Rights</w:t>
      </w:r>
    </w:p>
    <w:p w14:paraId="00000020" w14:textId="77777777" w:rsidR="009C4276" w:rsidRDefault="00CD7FA7">
      <w:pPr>
        <w:spacing w:before="240" w:after="200"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The legislative turning point for platform and gig workers is the SS Code. A "gig worker" is someone who works outside of an ordinary employer-employee relationship, according to Section 2(35).</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"Platform work" is def</w:t>
      </w:r>
      <w:r>
        <w:rPr>
          <w:rFonts w:ascii="Times New Roman" w:eastAsia="Times New Roman" w:hAnsi="Times New Roman" w:cs="Times New Roman"/>
          <w:sz w:val="24"/>
          <w:szCs w:val="24"/>
        </w:rPr>
        <w:t>ined in Section 2(61) as a work arrangement wherein organizations or individuals use an online platform to solve problems or deliver services in exchange for payment.</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These definitions formally acknowledge gig and platform workers as a separate labor cate</w:t>
      </w:r>
      <w:r>
        <w:rPr>
          <w:rFonts w:ascii="Times New Roman" w:eastAsia="Times New Roman" w:hAnsi="Times New Roman" w:cs="Times New Roman"/>
          <w:sz w:val="24"/>
          <w:szCs w:val="24"/>
        </w:rPr>
        <w:t xml:space="preserve">gory for the first time in Indian law. However, the recognition is strictly limited: Section 109, </w:t>
      </w:r>
      <w:r>
        <w:rPr>
          <w:rFonts w:ascii="Times New Roman" w:eastAsia="Times New Roman" w:hAnsi="Times New Roman" w:cs="Times New Roman"/>
          <w:sz w:val="24"/>
          <w:szCs w:val="24"/>
        </w:rPr>
        <w:lastRenderedPageBreak/>
        <w:t>which requires the central government to create welfare programs for gig workers, covers old age protection, health and maternity benefits, and accident insur</w:t>
      </w:r>
      <w:r>
        <w:rPr>
          <w:rFonts w:ascii="Times New Roman" w:eastAsia="Times New Roman" w:hAnsi="Times New Roman" w:cs="Times New Roman"/>
          <w:sz w:val="24"/>
          <w:szCs w:val="24"/>
        </w:rPr>
        <w:t>ance but provides no mention of working-time protections, rest entitlements, or any right to disconnect.</w:t>
      </w:r>
      <w:r>
        <w:rPr>
          <w:rFonts w:ascii="Times New Roman" w:eastAsia="Times New Roman" w:hAnsi="Times New Roman" w:cs="Times New Roman"/>
          <w:sz w:val="24"/>
          <w:szCs w:val="24"/>
          <w:vertAlign w:val="superscript"/>
        </w:rPr>
        <w:footnoteReference w:id="26"/>
      </w:r>
    </w:p>
    <w:p w14:paraId="00000021"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paper refers to this selective recognition as "welfare without working-time rights" since gig workers are invisible when it comes to the regulatio</w:t>
      </w:r>
      <w:r>
        <w:rPr>
          <w:rFonts w:ascii="Times New Roman" w:eastAsia="Times New Roman" w:hAnsi="Times New Roman" w:cs="Times New Roman"/>
          <w:sz w:val="24"/>
          <w:szCs w:val="24"/>
        </w:rPr>
        <w:t>n of their working hours but visible enough to be eligible for social insurance. Section 114, which mandates that aggregators, such as ride-sharing platforms, food delivery platforms, and e-marketplaces under Section 2(1), contribute to a social security f</w:t>
      </w:r>
      <w:r>
        <w:rPr>
          <w:rFonts w:ascii="Times New Roman" w:eastAsia="Times New Roman" w:hAnsi="Times New Roman" w:cs="Times New Roman"/>
          <w:sz w:val="24"/>
          <w:szCs w:val="24"/>
        </w:rPr>
        <w:t>und based on a proportion of the yearly sales, exposes the structural rationale of this disparity.</w:t>
      </w:r>
      <w:r>
        <w:rPr>
          <w:rFonts w:ascii="Times New Roman" w:eastAsia="Times New Roman" w:hAnsi="Times New Roman" w:cs="Times New Roman"/>
          <w:sz w:val="24"/>
          <w:szCs w:val="24"/>
          <w:vertAlign w:val="superscript"/>
        </w:rPr>
        <w:t>23</w:t>
      </w:r>
      <w:r>
        <w:rPr>
          <w:rFonts w:ascii="Times New Roman" w:eastAsia="Times New Roman" w:hAnsi="Times New Roman" w:cs="Times New Roman"/>
          <w:sz w:val="24"/>
          <w:szCs w:val="24"/>
        </w:rPr>
        <w:t xml:space="preserve"> The contribution is based on completed transactions rather than hours logged. Platforms are explicitly encouraged by this architecture to minimize the payo</w:t>
      </w:r>
      <w:r>
        <w:rPr>
          <w:rFonts w:ascii="Times New Roman" w:eastAsia="Times New Roman" w:hAnsi="Times New Roman" w:cs="Times New Roman"/>
          <w:sz w:val="24"/>
          <w:szCs w:val="24"/>
        </w:rPr>
        <w:t>ut per transaction while maximizing the amount of time employees spend on the app (and hence available for transactions). This creates digital overwork by design and turns the right to disconnect into a financial threat to the platform's business model rat</w:t>
      </w:r>
      <w:r>
        <w:rPr>
          <w:rFonts w:ascii="Times New Roman" w:eastAsia="Times New Roman" w:hAnsi="Times New Roman" w:cs="Times New Roman"/>
          <w:sz w:val="24"/>
          <w:szCs w:val="24"/>
        </w:rPr>
        <w:t>her than just an abstract entitlement. In its current form, the SS Code encourages perpetual availability without giving it a name.</w:t>
      </w:r>
    </w:p>
    <w:p w14:paraId="00000022"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9" w:name="_2fex2k6kjfcj" w:colFirst="0" w:colLast="0"/>
      <w:bookmarkEnd w:id="9"/>
      <w:r>
        <w:rPr>
          <w:rFonts w:ascii="Times New Roman" w:eastAsia="Times New Roman" w:hAnsi="Times New Roman" w:cs="Times New Roman"/>
          <w:b/>
          <w:bCs/>
          <w:sz w:val="24"/>
          <w:szCs w:val="24"/>
        </w:rPr>
        <w:t>3.5 The OSH Code, 2020</w:t>
      </w:r>
    </w:p>
    <w:p w14:paraId="00000023"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piece of legislation governing working hours in India is the OSH Code. No worker may be empl</w:t>
      </w:r>
      <w:r>
        <w:rPr>
          <w:rFonts w:ascii="Times New Roman" w:eastAsia="Times New Roman" w:hAnsi="Times New Roman" w:cs="Times New Roman"/>
          <w:sz w:val="24"/>
          <w:szCs w:val="24"/>
        </w:rPr>
        <w:t>oyed for more than eight hours a day or forty-eight hours a week without receiving overtime compensation, according to Section 25.</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Section 26 mandates at least one day of weekly rest.</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Section 27 requires a rest interval of not less than thirty minutes fo</w:t>
      </w:r>
      <w:r>
        <w:rPr>
          <w:rFonts w:ascii="Times New Roman" w:eastAsia="Times New Roman" w:hAnsi="Times New Roman" w:cs="Times New Roman"/>
          <w:sz w:val="24"/>
          <w:szCs w:val="24"/>
        </w:rPr>
        <w:t>r workers employed for six straight hours.</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Since they specify the working day, the rest period, and the overtime threshold, all of which are conceptually necessary for a disconnect right, these rules, in theory, provide the exact legal framework upon whic</w:t>
      </w:r>
      <w:r>
        <w:rPr>
          <w:rFonts w:ascii="Times New Roman" w:eastAsia="Times New Roman" w:hAnsi="Times New Roman" w:cs="Times New Roman"/>
          <w:sz w:val="24"/>
          <w:szCs w:val="24"/>
        </w:rPr>
        <w:t>h a right to disconnect may be grafted.</w:t>
      </w:r>
    </w:p>
    <w:p w14:paraId="00000024"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in reality, platform workers are unable to access these services. The OSH Code's application is restricted to "establishments" specified in Schedule I, which includes factories, mines, plantations, and some </w:t>
      </w:r>
      <w:r>
        <w:rPr>
          <w:rFonts w:ascii="Times New Roman" w:eastAsia="Times New Roman" w:hAnsi="Times New Roman" w:cs="Times New Roman"/>
          <w:sz w:val="24"/>
          <w:szCs w:val="24"/>
        </w:rPr>
        <w:t xml:space="preserve">commercial establishments. Section 2(y) of the OSH Code defines </w:t>
      </w:r>
      <w:r>
        <w:rPr>
          <w:rFonts w:ascii="Times New Roman" w:eastAsia="Times New Roman" w:hAnsi="Times New Roman" w:cs="Times New Roman"/>
          <w:sz w:val="24"/>
          <w:szCs w:val="24"/>
        </w:rPr>
        <w:lastRenderedPageBreak/>
        <w:t>"worker" as include individuals employed directly or through contractors in any establishment.</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A platform worker is not employed "in an establishment" in a real sense if they work from a door</w:t>
      </w:r>
      <w:r>
        <w:rPr>
          <w:rFonts w:ascii="Times New Roman" w:eastAsia="Times New Roman" w:hAnsi="Times New Roman" w:cs="Times New Roman"/>
          <w:sz w:val="24"/>
          <w:szCs w:val="24"/>
        </w:rPr>
        <w:t>step, a motorcycle, or a bicycle. The OSH Code gives labor inspectors the authority to check "establishments," but they are not required to examine platform availability data or digital connectivity data. The platform worker does not have a workplace where</w:t>
      </w:r>
      <w:r>
        <w:rPr>
          <w:rFonts w:ascii="Times New Roman" w:eastAsia="Times New Roman" w:hAnsi="Times New Roman" w:cs="Times New Roman"/>
          <w:sz w:val="24"/>
          <w:szCs w:val="24"/>
        </w:rPr>
        <w:t xml:space="preserve"> the enforcement mechanism is physically anchored.</w:t>
      </w:r>
    </w:p>
    <w:p w14:paraId="00000025"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OSH Code's rest-period provisions do not apply to the workers who most need them, which is the third compounding exclusion. The 2023 Rajasthan Platform-based Gig Workers Act,</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the first state-level statute specifically addressing platform workers addresses welfare measures but imposes no working-time limitations on platforms.</w:t>
      </w:r>
      <w:r>
        <w:rPr>
          <w:rFonts w:ascii="Times New Roman" w:eastAsia="Times New Roman" w:hAnsi="Times New Roman" w:cs="Times New Roman"/>
          <w:sz w:val="24"/>
          <w:szCs w:val="24"/>
          <w:vertAlign w:val="superscript"/>
        </w:rPr>
        <w:t>28</w:t>
      </w:r>
      <w:r>
        <w:rPr>
          <w:rFonts w:ascii="Times New Roman" w:eastAsia="Times New Roman" w:hAnsi="Times New Roman" w:cs="Times New Roman"/>
          <w:sz w:val="24"/>
          <w:szCs w:val="24"/>
        </w:rPr>
        <w:t xml:space="preserve"> The right to disconnect is not only missing from the four Labour Codes but also consistently absent f</w:t>
      </w:r>
      <w:r>
        <w:rPr>
          <w:rFonts w:ascii="Times New Roman" w:eastAsia="Times New Roman" w:hAnsi="Times New Roman" w:cs="Times New Roman"/>
          <w:sz w:val="24"/>
          <w:szCs w:val="24"/>
        </w:rPr>
        <w:t>rom India's whole regulatory framework for platform work, as evidenced by the lack of working-time control in state-level gig worker legislation, which corresponds to the omission in the central Codes.</w:t>
      </w:r>
    </w:p>
    <w:p w14:paraId="00000026" w14:textId="77777777" w:rsidR="009C4276" w:rsidRDefault="00CD7FA7" w:rsidP="003B1C0C">
      <w:pPr>
        <w:pStyle w:val="Heading1"/>
        <w:keepNext w:val="0"/>
        <w:keepLines w:val="0"/>
        <w:pBdr>
          <w:bottom w:val="single" w:sz="4" w:space="1" w:color="auto"/>
        </w:pBdr>
        <w:spacing w:before="480"/>
        <w:rPr>
          <w:rFonts w:ascii="Times New Roman" w:eastAsia="Times New Roman" w:hAnsi="Times New Roman" w:cs="Times New Roman"/>
          <w:b/>
          <w:bCs/>
          <w:sz w:val="24"/>
          <w:szCs w:val="24"/>
        </w:rPr>
      </w:pPr>
      <w:bookmarkStart w:id="10" w:name="_8v3v23bvqxyj" w:colFirst="0" w:colLast="0"/>
      <w:bookmarkEnd w:id="10"/>
      <w:r>
        <w:rPr>
          <w:rFonts w:ascii="Times New Roman" w:eastAsia="Times New Roman" w:hAnsi="Times New Roman" w:cs="Times New Roman"/>
          <w:b/>
          <w:bCs/>
          <w:sz w:val="24"/>
          <w:szCs w:val="24"/>
        </w:rPr>
        <w:t>IV. Algorithmic Control: How the Right to Disconnect i</w:t>
      </w:r>
      <w:r>
        <w:rPr>
          <w:rFonts w:ascii="Times New Roman" w:eastAsia="Times New Roman" w:hAnsi="Times New Roman" w:cs="Times New Roman"/>
          <w:b/>
          <w:bCs/>
          <w:sz w:val="24"/>
          <w:szCs w:val="24"/>
        </w:rPr>
        <w:t>s Denied in Practice</w:t>
      </w:r>
    </w:p>
    <w:p w14:paraId="00000027"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Algorithmic management is the use of data-based, software algorithms that direct, analyze, warn, and terminate workers,</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and it is through this mechanism, the right to disconnect is denied in practice to gig workers, irrespective of wh</w:t>
      </w:r>
      <w:r>
        <w:rPr>
          <w:rFonts w:ascii="Times New Roman" w:eastAsia="Times New Roman" w:hAnsi="Times New Roman" w:cs="Times New Roman"/>
          <w:sz w:val="24"/>
          <w:szCs w:val="24"/>
        </w:rPr>
        <w:t>at the law states. Analyzing these algorithmic compulsion mechanisms is fundamental to understanding why the right to disconnect needs to be particularly targeted for platform workers, even when the legislature enacts a law in this regard.</w:t>
      </w:r>
    </w:p>
    <w:p w14:paraId="00000028"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mechan</w:t>
      </w:r>
      <w:r>
        <w:rPr>
          <w:rFonts w:ascii="Times New Roman" w:eastAsia="Times New Roman" w:hAnsi="Times New Roman" w:cs="Times New Roman"/>
          <w:sz w:val="24"/>
          <w:szCs w:val="24"/>
        </w:rPr>
        <w:t xml:space="preserve">ism is </w:t>
      </w:r>
      <w:r>
        <w:rPr>
          <w:rFonts w:ascii="Times New Roman" w:eastAsia="Times New Roman" w:hAnsi="Times New Roman" w:cs="Times New Roman"/>
          <w:b/>
          <w:bCs/>
          <w:sz w:val="24"/>
          <w:szCs w:val="24"/>
        </w:rPr>
        <w:t>task-assignment algorithms</w:t>
      </w:r>
      <w:r>
        <w:rPr>
          <w:rFonts w:ascii="Times New Roman" w:eastAsia="Times New Roman" w:hAnsi="Times New Roman" w:cs="Times New Roman"/>
          <w:sz w:val="24"/>
          <w:szCs w:val="24"/>
        </w:rPr>
        <w:t>. These specify which worker picks up which order, the preferred route, and the time window for order completion.</w:t>
      </w:r>
      <w:r>
        <w:rPr>
          <w:rFonts w:ascii="Times New Roman" w:eastAsia="Times New Roman" w:hAnsi="Times New Roman" w:cs="Times New Roman"/>
          <w:sz w:val="24"/>
          <w:szCs w:val="24"/>
          <w:vertAlign w:val="superscript"/>
        </w:rPr>
        <w:footnoteReference w:id="33"/>
      </w:r>
      <w:r>
        <w:rPr>
          <w:rFonts w:ascii="Times New Roman" w:eastAsia="Times New Roman" w:hAnsi="Times New Roman" w:cs="Times New Roman"/>
          <w:sz w:val="24"/>
          <w:szCs w:val="24"/>
        </w:rPr>
        <w:t xml:space="preserve"> The algorithm's task-assignment positions delivery workers on Swiggy, Zomato, and Dunzo under implicit tempt</w:t>
      </w:r>
      <w:r>
        <w:rPr>
          <w:rFonts w:ascii="Times New Roman" w:eastAsia="Times New Roman" w:hAnsi="Times New Roman" w:cs="Times New Roman"/>
          <w:sz w:val="24"/>
          <w:szCs w:val="24"/>
        </w:rPr>
        <w:t xml:space="preserve">ation to be logged in throughout the day. Workers who do not log in during periods of high demand are </w:t>
      </w:r>
      <w:r>
        <w:rPr>
          <w:rFonts w:ascii="Times New Roman" w:eastAsia="Times New Roman" w:hAnsi="Times New Roman" w:cs="Times New Roman"/>
          <w:sz w:val="24"/>
          <w:szCs w:val="24"/>
        </w:rPr>
        <w:lastRenderedPageBreak/>
        <w:t>"ghost deranked", implying they lose algorithmic preference in subsequent sessions.</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For gig workers, the right to disconnect clearly contradicts the task</w:t>
      </w:r>
      <w:r>
        <w:rPr>
          <w:rFonts w:ascii="Times New Roman" w:eastAsia="Times New Roman" w:hAnsi="Times New Roman" w:cs="Times New Roman"/>
          <w:sz w:val="24"/>
          <w:szCs w:val="24"/>
        </w:rPr>
        <w:t>-assignment algorithm's economic rationale: exercising the right would mean forgoing potential earnings.</w:t>
      </w:r>
    </w:p>
    <w:p w14:paraId="00000029" w14:textId="77777777" w:rsidR="009C4276" w:rsidRDefault="00CD7FA7">
      <w:pPr>
        <w:spacing w:before="240" w:after="200"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The second mechanism is </w:t>
      </w:r>
      <w:r>
        <w:rPr>
          <w:rFonts w:ascii="Times New Roman" w:eastAsia="Times New Roman" w:hAnsi="Times New Roman" w:cs="Times New Roman"/>
          <w:b/>
          <w:bCs/>
          <w:sz w:val="24"/>
          <w:szCs w:val="24"/>
        </w:rPr>
        <w:t>rating systems</w:t>
      </w:r>
      <w:r>
        <w:rPr>
          <w:rFonts w:ascii="Times New Roman" w:eastAsia="Times New Roman" w:hAnsi="Times New Roman" w:cs="Times New Roman"/>
          <w:sz w:val="24"/>
          <w:szCs w:val="24"/>
        </w:rPr>
        <w:t>. Platforms such as Uber, Ola, Swiggy, Urban Company, and others link worker livelihoods to feedback scores of cu</w:t>
      </w:r>
      <w:r>
        <w:rPr>
          <w:rFonts w:ascii="Times New Roman" w:eastAsia="Times New Roman" w:hAnsi="Times New Roman" w:cs="Times New Roman"/>
          <w:sz w:val="24"/>
          <w:szCs w:val="24"/>
        </w:rPr>
        <w:t>stomers.</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For instance, Uber drivers who receive lower than 4.6 stars risk termination regardless of the reasons for low ratings.</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From a right-to-disconnect standpoint, the rating system creates an invisible penalty structure for workers who are absent or</w:t>
      </w:r>
      <w:r>
        <w:rPr>
          <w:rFonts w:ascii="Times New Roman" w:eastAsia="Times New Roman" w:hAnsi="Times New Roman" w:cs="Times New Roman"/>
          <w:sz w:val="24"/>
          <w:szCs w:val="24"/>
        </w:rPr>
        <w:t xml:space="preserve"> sluggish in responding during what they consider to be leisure intervals. When a worker refuses to accept orders during off-peak hours and their "acceptance rate" reflects this, the worker's right to disconnect is being denied by a computerized scoring sy</w:t>
      </w:r>
      <w:r>
        <w:rPr>
          <w:rFonts w:ascii="Times New Roman" w:eastAsia="Times New Roman" w:hAnsi="Times New Roman" w:cs="Times New Roman"/>
          <w:sz w:val="24"/>
          <w:szCs w:val="24"/>
        </w:rPr>
        <w:t>stem that is not readily apparent to them, as opposed to by a supervisor's direct communication. Jeremias Adams-Prassl has termed this as '</w:t>
      </w:r>
      <w:r>
        <w:rPr>
          <w:rFonts w:ascii="Times New Roman" w:eastAsia="Times New Roman" w:hAnsi="Times New Roman" w:cs="Times New Roman"/>
          <w:i/>
          <w:iCs/>
          <w:sz w:val="24"/>
          <w:szCs w:val="24"/>
        </w:rPr>
        <w:t>algorithmic accountability gaps'</w:t>
      </w:r>
      <w:r>
        <w:rPr>
          <w:rFonts w:ascii="Times New Roman" w:eastAsia="Times New Roman" w:hAnsi="Times New Roman" w:cs="Times New Roman"/>
          <w:sz w:val="24"/>
          <w:szCs w:val="24"/>
        </w:rPr>
        <w:t xml:space="preserve"> where workers cannot perceive how metrics are weighted, thereby obscuring legal acco</w:t>
      </w:r>
      <w:r>
        <w:rPr>
          <w:rFonts w:ascii="Times New Roman" w:eastAsia="Times New Roman" w:hAnsi="Times New Roman" w:cs="Times New Roman"/>
          <w:sz w:val="24"/>
          <w:szCs w:val="24"/>
        </w:rPr>
        <w:t>untability.</w:t>
      </w:r>
      <w:r>
        <w:rPr>
          <w:rFonts w:ascii="Times New Roman" w:eastAsia="Times New Roman" w:hAnsi="Times New Roman" w:cs="Times New Roman"/>
          <w:sz w:val="24"/>
          <w:szCs w:val="24"/>
          <w:vertAlign w:val="superscript"/>
        </w:rPr>
        <w:footnoteReference w:id="37"/>
      </w:r>
    </w:p>
    <w:p w14:paraId="0000002A"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mechanism is </w:t>
      </w:r>
      <w:r>
        <w:rPr>
          <w:rFonts w:ascii="Times New Roman" w:eastAsia="Times New Roman" w:hAnsi="Times New Roman" w:cs="Times New Roman"/>
          <w:b/>
          <w:bCs/>
          <w:sz w:val="24"/>
          <w:szCs w:val="24"/>
        </w:rPr>
        <w:t>dynamic pricing incentives</w:t>
      </w:r>
      <w:r>
        <w:rPr>
          <w:rFonts w:ascii="Times New Roman" w:eastAsia="Times New Roman" w:hAnsi="Times New Roman" w:cs="Times New Roman"/>
          <w:sz w:val="24"/>
          <w:szCs w:val="24"/>
        </w:rPr>
        <w:t>. Platforms use surge pricing to incentivize workers to be available during high-demand times, including nights, weekends, or festive holidays.</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This implicitly compels the workers to stay on pl</w:t>
      </w:r>
      <w:r>
        <w:rPr>
          <w:rFonts w:ascii="Times New Roman" w:eastAsia="Times New Roman" w:hAnsi="Times New Roman" w:cs="Times New Roman"/>
          <w:sz w:val="24"/>
          <w:szCs w:val="24"/>
        </w:rPr>
        <w:t>atform as they must continue to be available due to economic necessity. Many gig workers report receiving automated alerts outside their specific working hours,</w:t>
      </w:r>
      <w:r>
        <w:rPr>
          <w:rFonts w:ascii="Times New Roman" w:eastAsia="Times New Roman" w:hAnsi="Times New Roman" w:cs="Times New Roman"/>
          <w:sz w:val="24"/>
          <w:szCs w:val="24"/>
          <w:vertAlign w:val="superscript"/>
        </w:rPr>
        <w:footnoteReference w:id="39"/>
      </w:r>
      <w:r>
        <w:rPr>
          <w:rFonts w:ascii="Times New Roman" w:eastAsia="Times New Roman" w:hAnsi="Times New Roman" w:cs="Times New Roman"/>
          <w:sz w:val="24"/>
          <w:szCs w:val="24"/>
        </w:rPr>
        <w:t xml:space="preserve"> and ignoring these notifications automatically results in dropped task allocation. Thereby, th</w:t>
      </w:r>
      <w:r>
        <w:rPr>
          <w:rFonts w:ascii="Times New Roman" w:eastAsia="Times New Roman" w:hAnsi="Times New Roman" w:cs="Times New Roman"/>
          <w:sz w:val="24"/>
          <w:szCs w:val="24"/>
        </w:rPr>
        <w:t>e right to disconnect is not merely denied by explicit employer directions, it is priced out of existence.</w:t>
      </w:r>
    </w:p>
    <w:p w14:paraId="0000002B"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fourth mechanism is </w:t>
      </w:r>
      <w:r>
        <w:rPr>
          <w:rFonts w:ascii="Times New Roman" w:eastAsia="Times New Roman" w:hAnsi="Times New Roman" w:cs="Times New Roman"/>
          <w:b/>
          <w:bCs/>
          <w:sz w:val="24"/>
          <w:szCs w:val="24"/>
        </w:rPr>
        <w:t>deactivation protocols.</w:t>
      </w:r>
      <w:r>
        <w:rPr>
          <w:rFonts w:ascii="Times New Roman" w:eastAsia="Times New Roman" w:hAnsi="Times New Roman" w:cs="Times New Roman"/>
          <w:sz w:val="24"/>
          <w:szCs w:val="24"/>
        </w:rPr>
        <w:t xml:space="preserve"> Platform deactivation, the functional equivalent of termination, can be triggered automatically when </w:t>
      </w:r>
      <w:r>
        <w:rPr>
          <w:rFonts w:ascii="Times New Roman" w:eastAsia="Times New Roman" w:hAnsi="Times New Roman" w:cs="Times New Roman"/>
          <w:sz w:val="24"/>
          <w:szCs w:val="24"/>
        </w:rPr>
        <w:t>a worker's acceptance rate drops below a threshold, their rating declines, or they are marked for prolonged periods of inactivity.</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Yet because the IR Code and OSH Code do not </w:t>
      </w:r>
      <w:r>
        <w:rPr>
          <w:rFonts w:ascii="Times New Roman" w:eastAsia="Times New Roman" w:hAnsi="Times New Roman" w:cs="Times New Roman"/>
          <w:i/>
          <w:iCs/>
          <w:sz w:val="24"/>
          <w:szCs w:val="24"/>
        </w:rPr>
        <w:t>prima facie</w:t>
      </w:r>
      <w:r>
        <w:rPr>
          <w:rFonts w:ascii="Times New Roman" w:eastAsia="Times New Roman" w:hAnsi="Times New Roman" w:cs="Times New Roman"/>
          <w:sz w:val="24"/>
          <w:szCs w:val="24"/>
        </w:rPr>
        <w:t xml:space="preserve"> classify platform workers as 'workers', the statutory unfair dismiss</w:t>
      </w:r>
      <w:r>
        <w:rPr>
          <w:rFonts w:ascii="Times New Roman" w:eastAsia="Times New Roman" w:hAnsi="Times New Roman" w:cs="Times New Roman"/>
          <w:sz w:val="24"/>
          <w:szCs w:val="24"/>
        </w:rPr>
        <w:t xml:space="preserve">al safeguards that would otherwise be applicable to other ‘workers’ are unavailable. </w:t>
      </w:r>
    </w:p>
    <w:p w14:paraId="0000002C" w14:textId="77777777" w:rsidR="009C4276" w:rsidRDefault="00CD7FA7" w:rsidP="003B1C0C">
      <w:pPr>
        <w:pStyle w:val="Heading1"/>
        <w:keepNext w:val="0"/>
        <w:keepLines w:val="0"/>
        <w:pBdr>
          <w:bottom w:val="single" w:sz="4" w:space="1" w:color="auto"/>
        </w:pBdr>
        <w:spacing w:before="480"/>
        <w:rPr>
          <w:rFonts w:ascii="Times New Roman" w:eastAsia="Times New Roman" w:hAnsi="Times New Roman" w:cs="Times New Roman"/>
          <w:b/>
          <w:bCs/>
          <w:sz w:val="24"/>
          <w:szCs w:val="24"/>
        </w:rPr>
      </w:pPr>
      <w:bookmarkStart w:id="11" w:name="_lz86s1dz4z9l" w:colFirst="0" w:colLast="0"/>
      <w:bookmarkEnd w:id="11"/>
      <w:r>
        <w:rPr>
          <w:rFonts w:ascii="Times New Roman" w:eastAsia="Times New Roman" w:hAnsi="Times New Roman" w:cs="Times New Roman"/>
          <w:b/>
          <w:bCs/>
          <w:sz w:val="24"/>
          <w:szCs w:val="24"/>
        </w:rPr>
        <w:t>V. Comparative Analysis: Designing a Right to Disconnect for Gig Workers</w:t>
      </w:r>
    </w:p>
    <w:p w14:paraId="0000002D"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12" w:name="_vrq3ivvrpdyc" w:colFirst="0" w:colLast="0"/>
      <w:bookmarkEnd w:id="12"/>
      <w:r>
        <w:rPr>
          <w:rFonts w:ascii="Times New Roman" w:eastAsia="Times New Roman" w:hAnsi="Times New Roman" w:cs="Times New Roman"/>
          <w:b/>
          <w:bCs/>
          <w:sz w:val="24"/>
          <w:szCs w:val="24"/>
        </w:rPr>
        <w:t xml:space="preserve">5.1 France: The Procedural Model </w:t>
      </w:r>
    </w:p>
    <w:p w14:paraId="0000002E"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Employers with 50 or more workers are required by Article L.2242-17 of the France Labour Code (introduced by the El Khomri Law, Law No. 2016-1088 of August 8, 2016) to hold yearly collective bargaining on the modalities of the right to disconnect and, in t</w:t>
      </w:r>
      <w:r>
        <w:rPr>
          <w:rFonts w:ascii="Times New Roman" w:eastAsia="Times New Roman" w:hAnsi="Times New Roman" w:cs="Times New Roman"/>
          <w:sz w:val="24"/>
          <w:szCs w:val="24"/>
        </w:rPr>
        <w:t>he event that no agreement is reached, to unilaterally issue a Disconnect Charter.</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xml:space="preserve"> From the perspective of gig workers, this French model has two serious flaws. First of all, it is based solely on a collective bargaining agreement between an employer and </w:t>
      </w:r>
      <w:r>
        <w:rPr>
          <w:rFonts w:ascii="Times New Roman" w:eastAsia="Times New Roman" w:hAnsi="Times New Roman" w:cs="Times New Roman"/>
          <w:sz w:val="24"/>
          <w:szCs w:val="24"/>
        </w:rPr>
        <w:t>organized labor, which is generally absent from gig workers in France and India. Because they have no employer to enforce the requirement against, platform workers who are categorized as independent contractors are unable to invoke Article L.2242-17. Secon</w:t>
      </w:r>
      <w:r>
        <w:rPr>
          <w:rFonts w:ascii="Times New Roman" w:eastAsia="Times New Roman" w:hAnsi="Times New Roman" w:cs="Times New Roman"/>
          <w:sz w:val="24"/>
          <w:szCs w:val="24"/>
        </w:rPr>
        <w:t>d, only 7.9% of businesses covered by the requirement had reached a formal collective agreement on the right to disconnect, according to a 2019 French Senate report.</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It is clear that the procedural model, negotiating or issuing a charter, has not been abl</w:t>
      </w:r>
      <w:r>
        <w:rPr>
          <w:rFonts w:ascii="Times New Roman" w:eastAsia="Times New Roman" w:hAnsi="Times New Roman" w:cs="Times New Roman"/>
          <w:sz w:val="24"/>
          <w:szCs w:val="24"/>
        </w:rPr>
        <w:t>e to alter deeply ingrained digital availability cultures. The French model provides India with the design principle of integrating the right into current standing-order processes (IR Code Section 29), but advises against depending solely on procedural res</w:t>
      </w:r>
      <w:r>
        <w:rPr>
          <w:rFonts w:ascii="Times New Roman" w:eastAsia="Times New Roman" w:hAnsi="Times New Roman" w:cs="Times New Roman"/>
          <w:sz w:val="24"/>
          <w:szCs w:val="24"/>
        </w:rPr>
        <w:t>ponsibilities in the absence of financial penalties and substantive standards.</w:t>
      </w:r>
    </w:p>
    <w:p w14:paraId="0000002F"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13" w:name="_jlusbqx6kv4d" w:colFirst="0" w:colLast="0"/>
      <w:bookmarkEnd w:id="13"/>
      <w:r>
        <w:rPr>
          <w:rFonts w:ascii="Times New Roman" w:eastAsia="Times New Roman" w:hAnsi="Times New Roman" w:cs="Times New Roman"/>
          <w:b/>
          <w:bCs/>
          <w:sz w:val="24"/>
          <w:szCs w:val="24"/>
        </w:rPr>
        <w:t xml:space="preserve">5.2 Portugal: The Prohibition Model </w:t>
      </w:r>
    </w:p>
    <w:p w14:paraId="00000030"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Except in cases of force majeure, Portugal's Law No. 83/2021, which amends Article 199-A of the Labour Code, forbids employers from contacting employees outside contracted hours and imposes financial penalties for doing so.</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This is the most substantive ap</w:t>
      </w:r>
      <w:r>
        <w:rPr>
          <w:rFonts w:ascii="Times New Roman" w:eastAsia="Times New Roman" w:hAnsi="Times New Roman" w:cs="Times New Roman"/>
          <w:sz w:val="24"/>
          <w:szCs w:val="24"/>
        </w:rPr>
        <w:t>proach; it is not a procedural requirement but rather a default prohibition. However, the main drawback of the Portuguese model is the same as that of the French model: gig and platform workers are not currently covered by the prohibition because they do n</w:t>
      </w:r>
      <w:r>
        <w:rPr>
          <w:rFonts w:ascii="Times New Roman" w:eastAsia="Times New Roman" w:hAnsi="Times New Roman" w:cs="Times New Roman"/>
          <w:sz w:val="24"/>
          <w:szCs w:val="24"/>
        </w:rPr>
        <w:t>ot have an employer of record.</w:t>
      </w:r>
    </w:p>
    <w:p w14:paraId="00000031"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a prohibition on employer-initiated contact during mandatory rest periods (OSH Code Sections 26–27) extended to aggregators as defined in Section 2(2) of the SS Code would apply the Portuguese prohibition to platform</w:t>
      </w:r>
      <w:r>
        <w:rPr>
          <w:rFonts w:ascii="Times New Roman" w:eastAsia="Times New Roman" w:hAnsi="Times New Roman" w:cs="Times New Roman"/>
          <w:sz w:val="24"/>
          <w:szCs w:val="24"/>
        </w:rPr>
        <w:t xml:space="preserve"> companies in their capacity as aggregators on algorithmic contact during rest periods, through automated notifications, surge-pricing pings, or deactivation for inactivity. This design principle is directly instructive for India.</w:t>
      </w:r>
    </w:p>
    <w:p w14:paraId="00000032"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14" w:name="_dewmt41gfkoc" w:colFirst="0" w:colLast="0"/>
      <w:bookmarkEnd w:id="14"/>
      <w:r>
        <w:rPr>
          <w:rFonts w:ascii="Times New Roman" w:eastAsia="Times New Roman" w:hAnsi="Times New Roman" w:cs="Times New Roman"/>
          <w:b/>
          <w:bCs/>
          <w:sz w:val="24"/>
          <w:szCs w:val="24"/>
        </w:rPr>
        <w:t>5.3 Australia: The Reason</w:t>
      </w:r>
      <w:r>
        <w:rPr>
          <w:rFonts w:ascii="Times New Roman" w:eastAsia="Times New Roman" w:hAnsi="Times New Roman" w:cs="Times New Roman"/>
          <w:b/>
          <w:bCs/>
          <w:sz w:val="24"/>
          <w:szCs w:val="24"/>
        </w:rPr>
        <w:t>ableness Standard and Gig Work</w:t>
      </w:r>
    </w:p>
    <w:p w14:paraId="00000033"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 effect from August 26, 2024, Australia's Fair Work Legislation Amendment (Closing Loopholes No. 2) Act 2024 introduces to the Fair Work Act 2009 a right for workers to refuse to monitor, read, or respond to correspondenc</w:t>
      </w:r>
      <w:r>
        <w:rPr>
          <w:rFonts w:ascii="Times New Roman" w:eastAsia="Times New Roman" w:hAnsi="Times New Roman" w:cs="Times New Roman"/>
          <w:sz w:val="24"/>
          <w:szCs w:val="24"/>
        </w:rPr>
        <w:t>e from an employer outside of normal working hours, unless the refusal is unreasonable.</w:t>
      </w:r>
      <w:r>
        <w:rPr>
          <w:rFonts w:ascii="Times New Roman" w:eastAsia="Times New Roman" w:hAnsi="Times New Roman" w:cs="Times New Roman"/>
          <w:sz w:val="24"/>
          <w:szCs w:val="24"/>
          <w:vertAlign w:val="superscript"/>
        </w:rPr>
        <w:footnoteReference w:id="44"/>
      </w:r>
      <w:r>
        <w:rPr>
          <w:rFonts w:ascii="Times New Roman" w:eastAsia="Times New Roman" w:hAnsi="Times New Roman" w:cs="Times New Roman"/>
          <w:sz w:val="24"/>
          <w:szCs w:val="24"/>
        </w:rPr>
        <w:t xml:space="preserve"> The "reasonableness" standard is evaluated in relation to the employee's role, the purpose of the contact, any compensation for availability, and the type and mode of </w:t>
      </w:r>
      <w:r>
        <w:rPr>
          <w:rFonts w:ascii="Times New Roman" w:eastAsia="Times New Roman" w:hAnsi="Times New Roman" w:cs="Times New Roman"/>
          <w:sz w:val="24"/>
          <w:szCs w:val="24"/>
        </w:rPr>
        <w:t>contact.</w:t>
      </w:r>
    </w:p>
    <w:p w14:paraId="00000034"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Australian model is particularly instructive for India for two reasons.First, the "reasonableness" balancing standard is calibrated to the worker's compensation: a gig worker would have a strong case under this standard that any refusal to res</w:t>
      </w:r>
      <w:r>
        <w:rPr>
          <w:rFonts w:ascii="Times New Roman" w:eastAsia="Times New Roman" w:hAnsi="Times New Roman" w:cs="Times New Roman"/>
          <w:sz w:val="24"/>
          <w:szCs w:val="24"/>
        </w:rPr>
        <w:t>pond to platform notifications outside of their self-designated working hours is reasonable if they receive no extra compensation for being available during off-peak hours. Second, the Australian model recognizes the unique blurring of work and personal ti</w:t>
      </w:r>
      <w:r>
        <w:rPr>
          <w:rFonts w:ascii="Times New Roman" w:eastAsia="Times New Roman" w:hAnsi="Times New Roman" w:cs="Times New Roman"/>
          <w:sz w:val="24"/>
          <w:szCs w:val="24"/>
        </w:rPr>
        <w:t xml:space="preserve">me in non-establishment-based work, which is directly relevant to gig workers' situation and extends to remote work arrangements. An institutional model for the CGIT (Central Government Industrial Tribunal) or a recently established Platform Workers </w:t>
      </w:r>
      <w:r>
        <w:rPr>
          <w:rFonts w:ascii="Times New Roman" w:eastAsia="Times New Roman" w:hAnsi="Times New Roman" w:cs="Times New Roman"/>
          <w:sz w:val="24"/>
          <w:szCs w:val="24"/>
        </w:rPr>
        <w:lastRenderedPageBreak/>
        <w:t>Adjudi</w:t>
      </w:r>
      <w:r>
        <w:rPr>
          <w:rFonts w:ascii="Times New Roman" w:eastAsia="Times New Roman" w:hAnsi="Times New Roman" w:cs="Times New Roman"/>
          <w:sz w:val="24"/>
          <w:szCs w:val="24"/>
        </w:rPr>
        <w:t>catory Authority in India is provided by the Fair Work Commission's function as a dispute resolution process for right-to-disconnect cases.</w:t>
      </w:r>
    </w:p>
    <w:p w14:paraId="00000035"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15" w:name="_q43belu00rd8" w:colFirst="0" w:colLast="0"/>
      <w:bookmarkEnd w:id="15"/>
      <w:r>
        <w:rPr>
          <w:rFonts w:ascii="Times New Roman" w:eastAsia="Times New Roman" w:hAnsi="Times New Roman" w:cs="Times New Roman"/>
          <w:b/>
          <w:bCs/>
          <w:sz w:val="24"/>
          <w:szCs w:val="24"/>
        </w:rPr>
        <w:t>5.4 The CJEU's Matzak Principle: Availability Time as Working Time</w:t>
      </w:r>
    </w:p>
    <w:p w14:paraId="00000036" w14:textId="77777777" w:rsidR="009C4276" w:rsidRDefault="00CD7FA7">
      <w:pPr>
        <w:spacing w:before="240" w:after="20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i/>
          <w:iCs/>
          <w:sz w:val="24"/>
          <w:szCs w:val="24"/>
        </w:rPr>
        <w:t>Matzak v. État belge</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45"/>
      </w:r>
      <w:r>
        <w:rPr>
          <w:rFonts w:ascii="Times New Roman" w:eastAsia="Times New Roman" w:hAnsi="Times New Roman" w:cs="Times New Roman"/>
          <w:sz w:val="24"/>
          <w:szCs w:val="24"/>
        </w:rPr>
        <w:t xml:space="preserve"> the CJEU ruled that, fo</w:t>
      </w:r>
      <w:r>
        <w:rPr>
          <w:rFonts w:ascii="Times New Roman" w:eastAsia="Times New Roman" w:hAnsi="Times New Roman" w:cs="Times New Roman"/>
          <w:sz w:val="24"/>
          <w:szCs w:val="24"/>
        </w:rPr>
        <w:t>r the purposes of the EU Working Time Directive 2003/88/EC, stand-by time, during which an employee must be available to respond to an employer call within eight minutes and during which personal freedom is significantly constrained, is regarded as "workin</w:t>
      </w:r>
      <w:r>
        <w:rPr>
          <w:rFonts w:ascii="Times New Roman" w:eastAsia="Times New Roman" w:hAnsi="Times New Roman" w:cs="Times New Roman"/>
          <w:sz w:val="24"/>
          <w:szCs w:val="24"/>
        </w:rPr>
        <w:t>g time."</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The availability-time argument in the Indian context is based on this international court finding. The Matzak principle, when applied to Blinkit's dark-store architecture, categorizes all algorithmic station-zone monitoring time as working time, </w:t>
      </w:r>
      <w:r>
        <w:rPr>
          <w:rFonts w:ascii="Times New Roman" w:eastAsia="Times New Roman" w:hAnsi="Times New Roman" w:cs="Times New Roman"/>
          <w:sz w:val="24"/>
          <w:szCs w:val="24"/>
        </w:rPr>
        <w:t>regardless of whether an order is being actively fulfilled.</w:t>
      </w:r>
    </w:p>
    <w:p w14:paraId="00000037"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India is not bound by CJEU authority, but the Matzak reasoning is persuasive authority for Indian courts interpreting the OSH Code. The domestic constitutional basis for the same outcome is provid</w:t>
      </w:r>
      <w:r>
        <w:rPr>
          <w:rFonts w:ascii="Times New Roman" w:eastAsia="Times New Roman" w:hAnsi="Times New Roman" w:cs="Times New Roman"/>
          <w:sz w:val="24"/>
          <w:szCs w:val="24"/>
        </w:rPr>
        <w:t>ed by the constitutional duty to ensure fair and humane working conditions under Article 42 and the right to health under Article 21 as expounded in Consumer Education. In short, the Matzak principle shows that purposive constitutional interpretation may a</w:t>
      </w:r>
      <w:r>
        <w:rPr>
          <w:rFonts w:ascii="Times New Roman" w:eastAsia="Times New Roman" w:hAnsi="Times New Roman" w:cs="Times New Roman"/>
          <w:sz w:val="24"/>
          <w:szCs w:val="24"/>
        </w:rPr>
        <w:t>nd should close the availability-time gap in the Wages Code, rather than just being a definitional inconvenience.</w:t>
      </w:r>
    </w:p>
    <w:p w14:paraId="00000038" w14:textId="77777777" w:rsidR="009C4276" w:rsidRDefault="00CD7FA7" w:rsidP="003B1C0C">
      <w:pPr>
        <w:pStyle w:val="Heading1"/>
        <w:keepNext w:val="0"/>
        <w:keepLines w:val="0"/>
        <w:pBdr>
          <w:bottom w:val="single" w:sz="4" w:space="1" w:color="auto"/>
        </w:pBdr>
        <w:spacing w:before="480"/>
        <w:rPr>
          <w:rFonts w:ascii="Times New Roman" w:eastAsia="Times New Roman" w:hAnsi="Times New Roman" w:cs="Times New Roman"/>
          <w:b/>
          <w:bCs/>
          <w:sz w:val="24"/>
          <w:szCs w:val="24"/>
        </w:rPr>
      </w:pPr>
      <w:bookmarkStart w:id="16" w:name="_vwd1xa47qwtw" w:colFirst="0" w:colLast="0"/>
      <w:bookmarkEnd w:id="16"/>
      <w:r>
        <w:rPr>
          <w:rFonts w:ascii="Times New Roman" w:eastAsia="Times New Roman" w:hAnsi="Times New Roman" w:cs="Times New Roman"/>
          <w:b/>
          <w:bCs/>
          <w:sz w:val="24"/>
          <w:szCs w:val="24"/>
        </w:rPr>
        <w:t xml:space="preserve">VI. India's Emerging Legislative Response </w:t>
      </w:r>
    </w:p>
    <w:p w14:paraId="00000039"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17" w:name="_rxghqf99z3bn" w:colFirst="0" w:colLast="0"/>
      <w:bookmarkEnd w:id="17"/>
      <w:r>
        <w:rPr>
          <w:rFonts w:ascii="Times New Roman" w:eastAsia="Times New Roman" w:hAnsi="Times New Roman" w:cs="Times New Roman"/>
          <w:b/>
          <w:bCs/>
          <w:sz w:val="24"/>
          <w:szCs w:val="24"/>
        </w:rPr>
        <w:t>6.1 The Private Member's Right to Disconnect Bill</w:t>
      </w:r>
    </w:p>
    <w:p w14:paraId="0000003A"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Private Member's Right to Disconnect Bill tha</w:t>
      </w:r>
      <w:r>
        <w:rPr>
          <w:rFonts w:ascii="Times New Roman" w:eastAsia="Times New Roman" w:hAnsi="Times New Roman" w:cs="Times New Roman"/>
          <w:sz w:val="24"/>
          <w:szCs w:val="24"/>
        </w:rPr>
        <w:t xml:space="preserve">t was introduced in the Lok Sabha proposes that establishments with more than ten employees create a Right to Disconnect Policy that outlines the hours when employees are not required to reply to communications pertaining to their jobs. Violations of this </w:t>
      </w:r>
      <w:r>
        <w:rPr>
          <w:rFonts w:ascii="Times New Roman" w:eastAsia="Times New Roman" w:hAnsi="Times New Roman" w:cs="Times New Roman"/>
          <w:sz w:val="24"/>
          <w:szCs w:val="24"/>
        </w:rPr>
        <w:t>policy would be considered unfair labor practices under the IR Code.</w:t>
      </w:r>
      <w:r>
        <w:rPr>
          <w:rFonts w:ascii="Times New Roman" w:eastAsia="Times New Roman" w:hAnsi="Times New Roman" w:cs="Times New Roman"/>
          <w:sz w:val="24"/>
          <w:szCs w:val="24"/>
          <w:vertAlign w:val="superscript"/>
        </w:rPr>
        <w:footnoteReference w:id="47"/>
      </w:r>
      <w:r>
        <w:rPr>
          <w:rFonts w:ascii="Times New Roman" w:eastAsia="Times New Roman" w:hAnsi="Times New Roman" w:cs="Times New Roman"/>
          <w:sz w:val="24"/>
          <w:szCs w:val="24"/>
        </w:rPr>
        <w:t xml:space="preserve"> The Bill is the first clear legislative recognition that digital overtime is a recognized labor law concern. Its </w:t>
      </w:r>
      <w:r>
        <w:rPr>
          <w:rFonts w:ascii="Times New Roman" w:eastAsia="Times New Roman" w:hAnsi="Times New Roman" w:cs="Times New Roman"/>
          <w:sz w:val="24"/>
          <w:szCs w:val="24"/>
        </w:rPr>
        <w:lastRenderedPageBreak/>
        <w:t>doctrinal shortcomings, however, can be directly linked to the labor code</w:t>
      </w:r>
      <w:r>
        <w:rPr>
          <w:rFonts w:ascii="Times New Roman" w:eastAsia="Times New Roman" w:hAnsi="Times New Roman" w:cs="Times New Roman"/>
          <w:sz w:val="24"/>
          <w:szCs w:val="24"/>
        </w:rPr>
        <w:t>s' classification errors, which this paper has mapped.</w:t>
      </w:r>
    </w:p>
    <w:p w14:paraId="0000003B"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the Bill replicates the OSH Code's structural exclusion of platform workers by confining its reach to "establishments." Second, gig and platform workers are once again excluded from the enforcem</w:t>
      </w:r>
      <w:r>
        <w:rPr>
          <w:rFonts w:ascii="Times New Roman" w:eastAsia="Times New Roman" w:hAnsi="Times New Roman" w:cs="Times New Roman"/>
          <w:sz w:val="24"/>
          <w:szCs w:val="24"/>
        </w:rPr>
        <w:t xml:space="preserve">ent mechanism, which is accessible only to "workmen" as defined in Section 2(zr). Third, and perhaps most importantly, algorithmic enforcement of availability is not addressed in the Bill. A call center employee on a fixed-term contract would be protected </w:t>
      </w:r>
      <w:r>
        <w:rPr>
          <w:rFonts w:ascii="Times New Roman" w:eastAsia="Times New Roman" w:hAnsi="Times New Roman" w:cs="Times New Roman"/>
          <w:sz w:val="24"/>
          <w:szCs w:val="24"/>
        </w:rPr>
        <w:t>by the bill as drafted, but a Swiggy delivery rider would be completely unprotected.</w:t>
      </w:r>
    </w:p>
    <w:p w14:paraId="0000003C" w14:textId="77777777" w:rsidR="009C4276" w:rsidRDefault="00CD7FA7">
      <w:pPr>
        <w:pStyle w:val="Heading2"/>
        <w:keepNext w:val="0"/>
        <w:keepLines w:val="0"/>
        <w:spacing w:after="80"/>
        <w:rPr>
          <w:rFonts w:ascii="Times New Roman" w:eastAsia="Times New Roman" w:hAnsi="Times New Roman" w:cs="Times New Roman"/>
          <w:b/>
          <w:bCs/>
          <w:sz w:val="24"/>
          <w:szCs w:val="24"/>
        </w:rPr>
      </w:pPr>
      <w:bookmarkStart w:id="18" w:name="_fpzgn3ji37gt" w:colFirst="0" w:colLast="0"/>
      <w:bookmarkEnd w:id="18"/>
      <w:r>
        <w:rPr>
          <w:rFonts w:ascii="Times New Roman" w:eastAsia="Times New Roman" w:hAnsi="Times New Roman" w:cs="Times New Roman"/>
          <w:b/>
          <w:bCs/>
          <w:sz w:val="24"/>
          <w:szCs w:val="24"/>
        </w:rPr>
        <w:t>Kerala's Right to Disconnect Bill, 2025</w:t>
      </w:r>
    </w:p>
    <w:p w14:paraId="0000003D" w14:textId="77777777" w:rsidR="009C4276" w:rsidRDefault="00CD7FA7">
      <w:pPr>
        <w:spacing w:before="240" w:after="200"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Kerala's proposed Right to Disconnect Bill, 2025, is significantly more ambitious.</w:t>
      </w:r>
      <w:r>
        <w:rPr>
          <w:rFonts w:ascii="Times New Roman" w:eastAsia="Times New Roman" w:hAnsi="Times New Roman" w:cs="Times New Roman"/>
          <w:sz w:val="24"/>
          <w:szCs w:val="24"/>
          <w:vertAlign w:val="superscript"/>
        </w:rPr>
        <w:footnoteReference w:id="48"/>
      </w:r>
      <w:r>
        <w:rPr>
          <w:rFonts w:ascii="Times New Roman" w:eastAsia="Times New Roman" w:hAnsi="Times New Roman" w:cs="Times New Roman"/>
          <w:sz w:val="24"/>
          <w:szCs w:val="24"/>
        </w:rPr>
        <w:t xml:space="preserve"> It extends the right to disconnect to 'all work</w:t>
      </w:r>
      <w:r>
        <w:rPr>
          <w:rFonts w:ascii="Times New Roman" w:eastAsia="Times New Roman" w:hAnsi="Times New Roman" w:cs="Times New Roman"/>
          <w:sz w:val="24"/>
          <w:szCs w:val="24"/>
        </w:rPr>
        <w:t>ers,' including those in platform-based work. According to Article 254(1), which states that labor is a concurrent topic under Entry 22 of List III of the Seventh Schedule and that a state law that is inconsistent with a central law on a concurrent subject</w:t>
      </w:r>
      <w:r>
        <w:rPr>
          <w:rFonts w:ascii="Times New Roman" w:eastAsia="Times New Roman" w:hAnsi="Times New Roman" w:cs="Times New Roman"/>
          <w:sz w:val="24"/>
          <w:szCs w:val="24"/>
        </w:rPr>
        <w:t xml:space="preserve"> is void to the extent of the inconsistency, the Bill creates a constitutional question. However, the Supreme Court ruled in Zameer Ahmed Latifur Rehman Sheikh v. State of Maharashtra that before repugnancy may be proven, the field of central law must be "</w:t>
      </w:r>
      <w:r>
        <w:rPr>
          <w:rFonts w:ascii="Times New Roman" w:eastAsia="Times New Roman" w:hAnsi="Times New Roman" w:cs="Times New Roman"/>
          <w:sz w:val="24"/>
          <w:szCs w:val="24"/>
        </w:rPr>
        <w:t>occupied" in the sense of demonstrating a clear legislative intention to cover the entire field.</w:t>
      </w:r>
      <w:r>
        <w:rPr>
          <w:rFonts w:ascii="Times New Roman" w:eastAsia="Times New Roman" w:hAnsi="Times New Roman" w:cs="Times New Roman"/>
          <w:sz w:val="24"/>
          <w:szCs w:val="24"/>
          <w:vertAlign w:val="superscript"/>
        </w:rPr>
        <w:footnoteReference w:id="49"/>
      </w:r>
      <w:r>
        <w:rPr>
          <w:rFonts w:ascii="Times New Roman" w:eastAsia="Times New Roman" w:hAnsi="Times New Roman" w:cs="Times New Roman"/>
          <w:sz w:val="24"/>
          <w:szCs w:val="24"/>
        </w:rPr>
        <w:t xml:space="preserve"> The Kerala Bill does not contradict with any central provisions, and the field is unoccupied because the central Labour Codes are silent on the right to disco</w:t>
      </w:r>
      <w:r>
        <w:rPr>
          <w:rFonts w:ascii="Times New Roman" w:eastAsia="Times New Roman" w:hAnsi="Times New Roman" w:cs="Times New Roman"/>
          <w:sz w:val="24"/>
          <w:szCs w:val="24"/>
        </w:rPr>
        <w:t>nnect.</w:t>
      </w:r>
    </w:p>
    <w:p w14:paraId="0000003E" w14:textId="0D780030" w:rsidR="009C4276" w:rsidRDefault="00CD7FA7" w:rsidP="003B1C0C">
      <w:pPr>
        <w:pStyle w:val="Heading2"/>
        <w:keepNext w:val="0"/>
        <w:keepLines w:val="0"/>
        <w:pBdr>
          <w:bottom w:val="single" w:sz="4" w:space="1" w:color="auto"/>
        </w:pBdr>
        <w:spacing w:after="80"/>
        <w:rPr>
          <w:rFonts w:ascii="Times New Roman" w:eastAsia="Times New Roman" w:hAnsi="Times New Roman" w:cs="Times New Roman"/>
          <w:b/>
          <w:bCs/>
          <w:sz w:val="24"/>
          <w:szCs w:val="24"/>
        </w:rPr>
      </w:pPr>
      <w:bookmarkStart w:id="19" w:name="_x1ia1g1k9g0t" w:colFirst="0" w:colLast="0"/>
      <w:bookmarkEnd w:id="19"/>
      <w:r>
        <w:rPr>
          <w:rFonts w:ascii="Times New Roman" w:eastAsia="Times New Roman" w:hAnsi="Times New Roman" w:cs="Times New Roman"/>
          <w:b/>
          <w:bCs/>
          <w:sz w:val="24"/>
          <w:szCs w:val="24"/>
        </w:rPr>
        <w:t>Targeted Doctrinal Recommendations</w:t>
      </w:r>
    </w:p>
    <w:p w14:paraId="00000040" w14:textId="4433DFBB"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recommendations that follow are intended to address the compounding failures that are mapped out in the sections above in an integrated manner. The availability-time gap, the algorithmic enforcement mechanism, and the institutional shortcomings of the </w:t>
      </w:r>
      <w:r>
        <w:rPr>
          <w:rFonts w:ascii="Times New Roman" w:eastAsia="Times New Roman" w:hAnsi="Times New Roman" w:cs="Times New Roman"/>
          <w:sz w:val="24"/>
          <w:szCs w:val="24"/>
        </w:rPr>
        <w:t xml:space="preserve">existing </w:t>
      </w:r>
      <w:r>
        <w:rPr>
          <w:rFonts w:ascii="Times New Roman" w:eastAsia="Times New Roman" w:hAnsi="Times New Roman" w:cs="Times New Roman"/>
          <w:sz w:val="24"/>
          <w:szCs w:val="24"/>
        </w:rPr>
        <w:lastRenderedPageBreak/>
        <w:t>enforcement apparatus are all crucially addressed by their calibration specifically designed for gig workers.</w:t>
      </w:r>
    </w:p>
    <w:p w14:paraId="00000041"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Recommendation 1: Amend Section 2(y) of the OSH Code to define 'working hours' to include 'algorithmic availability time.' </w:t>
      </w:r>
      <w:r>
        <w:rPr>
          <w:rFonts w:ascii="Times New Roman" w:eastAsia="Times New Roman" w:hAnsi="Times New Roman" w:cs="Times New Roman"/>
          <w:sz w:val="24"/>
          <w:szCs w:val="24"/>
        </w:rPr>
        <w:t xml:space="preserve">According to </w:t>
      </w:r>
      <w:r>
        <w:rPr>
          <w:rFonts w:ascii="Times New Roman" w:eastAsia="Times New Roman" w:hAnsi="Times New Roman" w:cs="Times New Roman"/>
          <w:sz w:val="24"/>
          <w:szCs w:val="24"/>
        </w:rPr>
        <w:t xml:space="preserve">the UK Supreme Court's reasoning in </w:t>
      </w:r>
      <w:r>
        <w:rPr>
          <w:rFonts w:ascii="Times New Roman" w:eastAsia="Times New Roman" w:hAnsi="Times New Roman" w:cs="Times New Roman"/>
          <w:i/>
          <w:iCs/>
          <w:sz w:val="24"/>
          <w:szCs w:val="24"/>
        </w:rPr>
        <w:t>Uber v. Aslam</w:t>
      </w:r>
      <w:r>
        <w:rPr>
          <w:rFonts w:ascii="Times New Roman" w:eastAsia="Times New Roman" w:hAnsi="Times New Roman" w:cs="Times New Roman"/>
          <w:sz w:val="24"/>
          <w:szCs w:val="24"/>
        </w:rPr>
        <w:t xml:space="preserve"> and the CJEU's </w:t>
      </w:r>
      <w:r>
        <w:rPr>
          <w:rFonts w:ascii="Times New Roman" w:eastAsia="Times New Roman" w:hAnsi="Times New Roman" w:cs="Times New Roman"/>
          <w:i/>
          <w:iCs/>
          <w:sz w:val="24"/>
          <w:szCs w:val="24"/>
        </w:rPr>
        <w:t>Matzak</w:t>
      </w:r>
      <w:r>
        <w:rPr>
          <w:rFonts w:ascii="Times New Roman" w:eastAsia="Times New Roman" w:hAnsi="Times New Roman" w:cs="Times New Roman"/>
          <w:sz w:val="24"/>
          <w:szCs w:val="24"/>
        </w:rPr>
        <w:t xml:space="preserve"> principle, "working hours" under the OSH Code should be defined as any time a worker is required to stay connected to a digital platform and available for task-assignment, either direc</w:t>
      </w:r>
      <w:r>
        <w:rPr>
          <w:rFonts w:ascii="Times New Roman" w:eastAsia="Times New Roman" w:hAnsi="Times New Roman" w:cs="Times New Roman"/>
          <w:sz w:val="24"/>
          <w:szCs w:val="24"/>
        </w:rPr>
        <w:t xml:space="preserve">tly or through algorithmic incentive structures. This amendment establishes the legal foundation for gig worker overtime claims arising from ghost-deranking and continuous-connectivity requirements, and it directly addresses the availability-time gap.  </w:t>
      </w:r>
    </w:p>
    <w:p w14:paraId="00000042"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w:t>
      </w:r>
      <w:r>
        <w:rPr>
          <w:rFonts w:ascii="Times New Roman" w:eastAsia="Times New Roman" w:hAnsi="Times New Roman" w:cs="Times New Roman"/>
          <w:b/>
          <w:bCs/>
          <w:sz w:val="24"/>
          <w:szCs w:val="24"/>
        </w:rPr>
        <w:t>commendation 2: Insert Section 25A into the OSH Code prohibiting platform-initiated contact during rest periods.</w:t>
      </w:r>
      <w:r>
        <w:rPr>
          <w:rFonts w:ascii="Times New Roman" w:eastAsia="Times New Roman" w:hAnsi="Times New Roman" w:cs="Times New Roman"/>
          <w:sz w:val="24"/>
          <w:szCs w:val="24"/>
        </w:rPr>
        <w:t xml:space="preserve"> A new Section 25A should forbid employers, contractors, and aggregators from initiating work-related communication with employees during the da</w:t>
      </w:r>
      <w:r>
        <w:rPr>
          <w:rFonts w:ascii="Times New Roman" w:eastAsia="Times New Roman" w:hAnsi="Times New Roman" w:cs="Times New Roman"/>
          <w:sz w:val="24"/>
          <w:szCs w:val="24"/>
        </w:rPr>
        <w:t>ily rest period (Section 26) and weekly rest day (Section 27), subject to a limited force majeure exception, based on Portugal's Law No. 83/2021. A monetary fine should be imposed for violations, with a compounding clause for subsequent violations.</w:t>
      </w:r>
    </w:p>
    <w:p w14:paraId="00000043"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w:t>
      </w:r>
      <w:r>
        <w:rPr>
          <w:rFonts w:ascii="Times New Roman" w:eastAsia="Times New Roman" w:hAnsi="Times New Roman" w:cs="Times New Roman"/>
          <w:b/>
          <w:bCs/>
          <w:sz w:val="24"/>
          <w:szCs w:val="24"/>
        </w:rPr>
        <w:t xml:space="preserve">ndation 3: Extend IR Code Model Standing Orders to mandate Disconnect Charters, with anti-retaliation provisions for fixed-term workers. </w:t>
      </w:r>
      <w:r>
        <w:rPr>
          <w:rFonts w:ascii="Times New Roman" w:eastAsia="Times New Roman" w:hAnsi="Times New Roman" w:cs="Times New Roman"/>
          <w:sz w:val="24"/>
          <w:szCs w:val="24"/>
        </w:rPr>
        <w:t>All establishments should be required by Section 29 of the IR Code to include a Disconnect Charter in certified standin</w:t>
      </w:r>
      <w:r>
        <w:rPr>
          <w:rFonts w:ascii="Times New Roman" w:eastAsia="Times New Roman" w:hAnsi="Times New Roman" w:cs="Times New Roman"/>
          <w:sz w:val="24"/>
          <w:szCs w:val="24"/>
        </w:rPr>
        <w:t>g orders. Fixed-term employees cannot be penalized through non-renewal, lower ratings, or negative appraisals for failing to respond to communications outside of contracted hours, according to the Charter. This directly tackles the structural vulnerability</w:t>
      </w:r>
      <w:r>
        <w:rPr>
          <w:rFonts w:ascii="Times New Roman" w:eastAsia="Times New Roman" w:hAnsi="Times New Roman" w:cs="Times New Roman"/>
          <w:sz w:val="24"/>
          <w:szCs w:val="24"/>
        </w:rPr>
        <w:t xml:space="preserve"> and coerced availability of fixed-term employees.</w:t>
      </w:r>
    </w:p>
    <w:p w14:paraId="00000044"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Recommendation 4: Amend Section 109 of the SS Code to mandate platform-level Algorithmic Disconnect Protocols.</w:t>
      </w:r>
      <w:r>
        <w:rPr>
          <w:rFonts w:ascii="Times New Roman" w:eastAsia="Times New Roman" w:hAnsi="Times New Roman" w:cs="Times New Roman"/>
          <w:sz w:val="24"/>
          <w:szCs w:val="24"/>
        </w:rPr>
        <w:t xml:space="preserve"> The existing welfare-scheme mandate under Section 109 should be extended to require all aggreg</w:t>
      </w:r>
      <w:r>
        <w:rPr>
          <w:rFonts w:ascii="Times New Roman" w:eastAsia="Times New Roman" w:hAnsi="Times New Roman" w:cs="Times New Roman"/>
          <w:sz w:val="24"/>
          <w:szCs w:val="24"/>
        </w:rPr>
        <w:t>ators' welfare schemes to incorporate an Algorithmic Disconnect Protocol that specifies: (i) a maximum number of hours per worker per day of platform connectivity; (ii) a restriction on algorithmic penalization through rating degradation, task-allocation r</w:t>
      </w:r>
      <w:r>
        <w:rPr>
          <w:rFonts w:ascii="Times New Roman" w:eastAsia="Times New Roman" w:hAnsi="Times New Roman" w:cs="Times New Roman"/>
          <w:sz w:val="24"/>
          <w:szCs w:val="24"/>
        </w:rPr>
        <w:t xml:space="preserve">eduction, or deactivation for non-connectivity during rest periods as defined under </w:t>
      </w:r>
      <w:r>
        <w:rPr>
          <w:rFonts w:ascii="Times New Roman" w:eastAsia="Times New Roman" w:hAnsi="Times New Roman" w:cs="Times New Roman"/>
          <w:sz w:val="24"/>
          <w:szCs w:val="24"/>
        </w:rPr>
        <w:lastRenderedPageBreak/>
        <w:t>Recommendation 1; and (iii) algorithmic transparency obligations requiring platforms to inform employees of the criteria used in task-assignment and the consequences of non</w:t>
      </w:r>
      <w:r>
        <w:rPr>
          <w:rFonts w:ascii="Times New Roman" w:eastAsia="Times New Roman" w:hAnsi="Times New Roman" w:cs="Times New Roman"/>
          <w:sz w:val="24"/>
          <w:szCs w:val="24"/>
        </w:rPr>
        <w:t xml:space="preserve">-connectivity.  </w:t>
      </w:r>
    </w:p>
    <w:p w14:paraId="00000045" w14:textId="77777777" w:rsidR="009C4276" w:rsidRDefault="00CD7FA7">
      <w:pPr>
        <w:pStyle w:val="Heading1"/>
        <w:keepNext w:val="0"/>
        <w:keepLines w:val="0"/>
        <w:spacing w:before="480"/>
        <w:rPr>
          <w:rFonts w:ascii="Times New Roman" w:eastAsia="Times New Roman" w:hAnsi="Times New Roman" w:cs="Times New Roman"/>
          <w:b/>
          <w:bCs/>
          <w:sz w:val="24"/>
          <w:szCs w:val="24"/>
        </w:rPr>
      </w:pPr>
      <w:bookmarkStart w:id="20" w:name="_p45pm8pmmvuo" w:colFirst="0" w:colLast="0"/>
      <w:bookmarkEnd w:id="20"/>
      <w:r>
        <w:rPr>
          <w:rFonts w:ascii="Times New Roman" w:eastAsia="Times New Roman" w:hAnsi="Times New Roman" w:cs="Times New Roman"/>
          <w:b/>
          <w:bCs/>
          <w:sz w:val="24"/>
          <w:szCs w:val="24"/>
        </w:rPr>
        <w:t>Conclusion</w:t>
      </w:r>
    </w:p>
    <w:p w14:paraId="00000046" w14:textId="77777777" w:rsidR="009C4276" w:rsidRDefault="00CD7FA7">
      <w:pPr>
        <w:spacing w:before="24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Labour Codes of 2019 and 2020 represent a significant modernisation of India's labour law architecture. Yet they were built for a labour market whose primary paradigm was the factory and the formal employer-employee relation</w:t>
      </w:r>
      <w:r>
        <w:rPr>
          <w:rFonts w:ascii="Times New Roman" w:eastAsia="Times New Roman" w:hAnsi="Times New Roman" w:cs="Times New Roman"/>
          <w:sz w:val="24"/>
          <w:szCs w:val="24"/>
        </w:rPr>
        <w:t>ship. The gig economy's disruption of this paradigm, replacing the employer's direct instruction with the algorithm's invisible discipline, and replacing the factory with the smartphone, has exposed the Codes' definitional architecture as structurally inad</w:t>
      </w:r>
      <w:r>
        <w:rPr>
          <w:rFonts w:ascii="Times New Roman" w:eastAsia="Times New Roman" w:hAnsi="Times New Roman" w:cs="Times New Roman"/>
          <w:sz w:val="24"/>
          <w:szCs w:val="24"/>
        </w:rPr>
        <w:t>equate for the workers who most need protection. The right to disconnect is not one problem among many that gig workers face. It is the legal expression of the most fundamental claim that gig workers make against the platform economy: the claim to own thei</w:t>
      </w:r>
      <w:r>
        <w:rPr>
          <w:rFonts w:ascii="Times New Roman" w:eastAsia="Times New Roman" w:hAnsi="Times New Roman" w:cs="Times New Roman"/>
          <w:sz w:val="24"/>
          <w:szCs w:val="24"/>
        </w:rPr>
        <w:t>r time. Without the recognition of availability time as working time, the prohibition of algorithmic penalisation for rest, and the extension of working-time enforcement to platform-mediated workplaces, the right to disconnect remains an abstraction, avail</w:t>
      </w:r>
      <w:r>
        <w:rPr>
          <w:rFonts w:ascii="Times New Roman" w:eastAsia="Times New Roman" w:hAnsi="Times New Roman" w:cs="Times New Roman"/>
          <w:sz w:val="24"/>
          <w:szCs w:val="24"/>
        </w:rPr>
        <w:t>able in theory to workers who, in practice, cannot afford to exercise it. The Blinkit protests of 2022, Kerala's Right to Disconnect Bill, 2025, and the growing ILO evidence on the health costs of India's long working hours all confirm that the political a</w:t>
      </w:r>
      <w:r>
        <w:rPr>
          <w:rFonts w:ascii="Times New Roman" w:eastAsia="Times New Roman" w:hAnsi="Times New Roman" w:cs="Times New Roman"/>
          <w:sz w:val="24"/>
          <w:szCs w:val="24"/>
        </w:rPr>
        <w:t>nd empirical conditions for reform are present. The recommendations advanced in this paper offer an integrated legislative response calibrated to the specific vulnerabilities of gig and platform workers, not as a supplement to the Labour Codes but as a cor</w:t>
      </w:r>
      <w:r>
        <w:rPr>
          <w:rFonts w:ascii="Times New Roman" w:eastAsia="Times New Roman" w:hAnsi="Times New Roman" w:cs="Times New Roman"/>
          <w:sz w:val="24"/>
          <w:szCs w:val="24"/>
        </w:rPr>
        <w:t>rection of their structural failure. The algorithmic gig is built on the labour of workers who cannot afford to disconnect. A legal framework adequate to the twenty-first century must make that choice: to disconnect, not a privilege of seniority or bargain</w:t>
      </w:r>
      <w:r>
        <w:rPr>
          <w:rFonts w:ascii="Times New Roman" w:eastAsia="Times New Roman" w:hAnsi="Times New Roman" w:cs="Times New Roman"/>
          <w:sz w:val="24"/>
          <w:szCs w:val="24"/>
        </w:rPr>
        <w:t>ing power, but a right.</w:t>
      </w:r>
    </w:p>
    <w:p w14:paraId="00000047" w14:textId="77777777" w:rsidR="009C4276" w:rsidRDefault="00CD7FA7">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9" w14:textId="555A97E1" w:rsidR="009C4276" w:rsidRDefault="00CD7FA7" w:rsidP="002F25DA">
      <w:pPr>
        <w:spacing w:before="200"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9C4276">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27F36" w14:textId="77777777" w:rsidR="00CD7FA7" w:rsidRDefault="00CD7FA7">
      <w:pPr>
        <w:spacing w:line="240" w:lineRule="auto"/>
      </w:pPr>
      <w:r>
        <w:separator/>
      </w:r>
    </w:p>
  </w:endnote>
  <w:endnote w:type="continuationSeparator" w:id="0">
    <w:p w14:paraId="4CB8EACB" w14:textId="77777777" w:rsidR="00CD7FA7" w:rsidRDefault="00CD7F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embedRegular r:id="rId1" w:fontKey="{7EF39380-E92E-4DDD-B0DE-6BC308B91F90}"/>
  </w:font>
  <w:font w:name="Calibri">
    <w:panose1 w:val="020F0502020204030204"/>
    <w:charset w:val="00"/>
    <w:family w:val="swiss"/>
    <w:pitch w:val="variable"/>
    <w:sig w:usb0="E4002EFF" w:usb1="C200247B" w:usb2="00000009" w:usb3="00000000" w:csb0="000001FF" w:csb1="00000000"/>
    <w:embedRegular r:id="rId2" w:fontKey="{2DFCB928-8AEB-45F1-98A2-67F465BC2A76}"/>
  </w:font>
  <w:font w:name="Cambria">
    <w:panose1 w:val="02040503050406030204"/>
    <w:charset w:val="00"/>
    <w:family w:val="roman"/>
    <w:pitch w:val="variable"/>
    <w:sig w:usb0="E00006FF" w:usb1="420024FF" w:usb2="02000000" w:usb3="00000000" w:csb0="0000019F" w:csb1="00000000"/>
    <w:embedRegular r:id="rId3" w:fontKey="{97B20236-3E83-41A7-88B3-660B3C7F960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98377703"/>
      <w:docPartObj>
        <w:docPartGallery w:val="Page Numbers (Bottom of Page)"/>
        <w:docPartUnique/>
      </w:docPartObj>
    </w:sdtPr>
    <w:sdtEndPr>
      <w:rPr>
        <w:rFonts w:ascii="Arial" w:hAnsi="Arial" w:cs="Mangal"/>
        <w:sz w:val="22"/>
        <w:szCs w:val="20"/>
      </w:rPr>
    </w:sdtEndPr>
    <w:sdtContent>
      <w:p w14:paraId="79B8B91B" w14:textId="663390A6" w:rsidR="009C1652" w:rsidRDefault="009C1652">
        <w:pPr>
          <w:pStyle w:val="Footer"/>
          <w:jc w:val="right"/>
        </w:pPr>
        <w:r w:rsidRPr="009C1652">
          <w:rPr>
            <w:rFonts w:ascii="Times New Roman" w:hAnsi="Times New Roman" w:cs="Times New Roman"/>
            <w:sz w:val="24"/>
            <w:szCs w:val="24"/>
          </w:rPr>
          <w:t xml:space="preserve">Page | </w:t>
        </w:r>
        <w:r w:rsidRPr="009C1652">
          <w:rPr>
            <w:rFonts w:ascii="Times New Roman" w:hAnsi="Times New Roman" w:cs="Times New Roman"/>
            <w:sz w:val="24"/>
            <w:szCs w:val="24"/>
          </w:rPr>
          <w:fldChar w:fldCharType="begin"/>
        </w:r>
        <w:r w:rsidRPr="009C1652">
          <w:rPr>
            <w:rFonts w:ascii="Times New Roman" w:hAnsi="Times New Roman" w:cs="Times New Roman"/>
            <w:sz w:val="24"/>
            <w:szCs w:val="24"/>
          </w:rPr>
          <w:instrText xml:space="preserve"> PAGE   \* MERGEFORMAT </w:instrText>
        </w:r>
        <w:r w:rsidRPr="009C1652">
          <w:rPr>
            <w:rFonts w:ascii="Times New Roman" w:hAnsi="Times New Roman" w:cs="Times New Roman"/>
            <w:sz w:val="24"/>
            <w:szCs w:val="24"/>
          </w:rPr>
          <w:fldChar w:fldCharType="separate"/>
        </w:r>
        <w:r w:rsidR="003C0BC0">
          <w:rPr>
            <w:rFonts w:ascii="Times New Roman" w:hAnsi="Times New Roman" w:cs="Times New Roman"/>
            <w:noProof/>
            <w:sz w:val="24"/>
            <w:szCs w:val="24"/>
          </w:rPr>
          <w:t>1</w:t>
        </w:r>
        <w:r w:rsidRPr="009C1652">
          <w:rPr>
            <w:rFonts w:ascii="Times New Roman" w:hAnsi="Times New Roman" w:cs="Times New Roman"/>
            <w:noProof/>
            <w:sz w:val="24"/>
            <w:szCs w:val="24"/>
          </w:rPr>
          <w:fldChar w:fldCharType="end"/>
        </w:r>
        <w:r>
          <w:t xml:space="preserve"> </w:t>
        </w:r>
      </w:p>
    </w:sdtContent>
  </w:sdt>
  <w:p w14:paraId="0000004C" w14:textId="77777777" w:rsidR="009C4276" w:rsidRDefault="009C427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D3586" w14:textId="77777777" w:rsidR="00CD7FA7" w:rsidRDefault="00CD7FA7">
      <w:pPr>
        <w:spacing w:line="240" w:lineRule="auto"/>
      </w:pPr>
      <w:r>
        <w:separator/>
      </w:r>
    </w:p>
  </w:footnote>
  <w:footnote w:type="continuationSeparator" w:id="0">
    <w:p w14:paraId="02F5301B" w14:textId="77777777" w:rsidR="00CD7FA7" w:rsidRDefault="00CD7FA7">
      <w:pPr>
        <w:spacing w:line="240" w:lineRule="auto"/>
      </w:pPr>
      <w:r>
        <w:continuationSeparator/>
      </w:r>
    </w:p>
  </w:footnote>
  <w:footnote w:id="1">
    <w:p w14:paraId="5444D770" w14:textId="15873088" w:rsidR="009C1652" w:rsidRPr="009C1652" w:rsidRDefault="009C1652">
      <w:pPr>
        <w:pStyle w:val="FootnoteText"/>
        <w:rPr>
          <w:lang w:val="en-US"/>
        </w:rPr>
      </w:pPr>
      <w:r>
        <w:rPr>
          <w:rStyle w:val="FootnoteReference"/>
        </w:rPr>
        <w:footnoteRef/>
      </w:r>
      <w:r>
        <w:t xml:space="preserve"> </w:t>
      </w:r>
      <w:r>
        <w:rPr>
          <w:lang w:val="en-US"/>
        </w:rPr>
        <w:t>Student, 4</w:t>
      </w:r>
      <w:r w:rsidRPr="009C1652">
        <w:rPr>
          <w:vertAlign w:val="superscript"/>
          <w:lang w:val="en-US"/>
        </w:rPr>
        <w:t>th</w:t>
      </w:r>
      <w:r>
        <w:rPr>
          <w:lang w:val="en-US"/>
        </w:rPr>
        <w:t xml:space="preserve"> Year Student at Rajiv Gandhi National University of Law, Punjab</w:t>
      </w:r>
    </w:p>
  </w:footnote>
  <w:footnote w:id="2">
    <w:p w14:paraId="7BBDD70D" w14:textId="5B50D974" w:rsidR="009C1652" w:rsidRPr="009C1652" w:rsidRDefault="009C1652">
      <w:pPr>
        <w:pStyle w:val="FootnoteText"/>
        <w:rPr>
          <w:lang w:val="en-US"/>
        </w:rPr>
      </w:pPr>
      <w:r>
        <w:rPr>
          <w:rStyle w:val="FootnoteReference"/>
        </w:rPr>
        <w:footnoteRef/>
      </w:r>
      <w:r>
        <w:t xml:space="preserve"> </w:t>
      </w:r>
      <w:r>
        <w:rPr>
          <w:lang w:val="en-US"/>
        </w:rPr>
        <w:t>Student, 5</w:t>
      </w:r>
      <w:r w:rsidRPr="009C1652">
        <w:rPr>
          <w:vertAlign w:val="superscript"/>
          <w:lang w:val="en-US"/>
        </w:rPr>
        <w:t>th</w:t>
      </w:r>
      <w:r>
        <w:rPr>
          <w:lang w:val="en-US"/>
        </w:rPr>
        <w:t xml:space="preserve"> Year Student at Punjab School of Law, Punjabi University, Patiala</w:t>
      </w:r>
    </w:p>
  </w:footnote>
  <w:footnote w:id="3">
    <w:p w14:paraId="0000004A" w14:textId="77777777" w:rsidR="009C4276" w:rsidRPr="009C1652" w:rsidRDefault="00CD7FA7" w:rsidP="009C1652">
      <w:pPr>
        <w:spacing w:line="240" w:lineRule="auto"/>
        <w:rPr>
          <w:rFonts w:ascii="Times New Roman" w:eastAsia="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eastAsia="Times New Roman" w:hAnsi="Times New Roman" w:cs="Times New Roman"/>
          <w:sz w:val="20"/>
          <w:szCs w:val="20"/>
        </w:rPr>
        <w:t xml:space="preserve"> Jeremias Adams-Prassl, </w:t>
      </w:r>
      <w:r w:rsidRPr="009C1652">
        <w:rPr>
          <w:rFonts w:ascii="Times New Roman" w:eastAsia="Times New Roman" w:hAnsi="Times New Roman" w:cs="Times New Roman"/>
          <w:i/>
          <w:iCs/>
          <w:sz w:val="20"/>
          <w:szCs w:val="20"/>
        </w:rPr>
        <w:t>Humans as a Service: The Promise and Perils of Work in the Gig Economy</w:t>
      </w:r>
      <w:r w:rsidRPr="009C1652">
        <w:rPr>
          <w:rFonts w:ascii="Times New Roman" w:eastAsia="Times New Roman" w:hAnsi="Times New Roman" w:cs="Times New Roman"/>
          <w:sz w:val="20"/>
          <w:szCs w:val="20"/>
        </w:rPr>
        <w:t xml:space="preserve"> 57–62 (Oxford Univ. Press 2018).</w:t>
      </w:r>
    </w:p>
  </w:footnote>
  <w:footnote w:id="4">
    <w:p w14:paraId="00000077"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w:t>
      </w:r>
      <w:r w:rsidRPr="009C1652">
        <w:rPr>
          <w:rFonts w:ascii="Times New Roman" w:hAnsi="Times New Roman" w:cs="Times New Roman"/>
          <w:sz w:val="20"/>
          <w:szCs w:val="20"/>
        </w:rPr>
        <w:t>NITI Aayog</w:t>
      </w:r>
      <w:r w:rsidRPr="009C1652">
        <w:rPr>
          <w:rFonts w:ascii="Times New Roman" w:hAnsi="Times New Roman" w:cs="Times New Roman"/>
          <w:b/>
          <w:bCs/>
          <w:sz w:val="20"/>
          <w:szCs w:val="20"/>
        </w:rPr>
        <w:t>,</w:t>
      </w:r>
      <w:r w:rsidRPr="009C1652">
        <w:rPr>
          <w:rFonts w:ascii="Times New Roman" w:hAnsi="Times New Roman" w:cs="Times New Roman"/>
          <w:sz w:val="20"/>
          <w:szCs w:val="20"/>
        </w:rPr>
        <w:t xml:space="preserve"> </w:t>
      </w:r>
      <w:r w:rsidRPr="009C1652">
        <w:rPr>
          <w:rFonts w:ascii="Times New Roman" w:hAnsi="Times New Roman" w:cs="Times New Roman"/>
          <w:i/>
          <w:iCs/>
          <w:sz w:val="20"/>
          <w:szCs w:val="20"/>
        </w:rPr>
        <w:t>India’s Booming Gig and Platform Economy: Perspectives and Recommendations on the Future of Work</w:t>
      </w:r>
      <w:r w:rsidRPr="009C1652">
        <w:rPr>
          <w:rFonts w:ascii="Times New Roman" w:hAnsi="Times New Roman" w:cs="Times New Roman"/>
          <w:sz w:val="20"/>
          <w:szCs w:val="20"/>
        </w:rPr>
        <w:t xml:space="preserve"> 14 (Gov’t of India 2022).</w:t>
      </w:r>
    </w:p>
  </w:footnote>
  <w:footnote w:id="5">
    <w:p w14:paraId="00000078"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w:t>
      </w:r>
      <w:r w:rsidRPr="009C1652">
        <w:rPr>
          <w:rFonts w:ascii="Times New Roman" w:hAnsi="Times New Roman" w:cs="Times New Roman"/>
          <w:sz w:val="20"/>
          <w:szCs w:val="20"/>
        </w:rPr>
        <w:t>Int’l Lab. Org.,</w:t>
      </w:r>
      <w:r w:rsidRPr="009C1652">
        <w:rPr>
          <w:rFonts w:ascii="Times New Roman" w:hAnsi="Times New Roman" w:cs="Times New Roman"/>
          <w:sz w:val="20"/>
          <w:szCs w:val="20"/>
        </w:rPr>
        <w:t xml:space="preserve"> </w:t>
      </w:r>
      <w:r w:rsidRPr="009C1652">
        <w:rPr>
          <w:rFonts w:ascii="Times New Roman" w:hAnsi="Times New Roman" w:cs="Times New Roman"/>
          <w:i/>
          <w:iCs/>
          <w:sz w:val="20"/>
          <w:szCs w:val="20"/>
        </w:rPr>
        <w:t>Working Time and Work-Li</w:t>
      </w:r>
      <w:r w:rsidRPr="009C1652">
        <w:rPr>
          <w:rFonts w:ascii="Times New Roman" w:hAnsi="Times New Roman" w:cs="Times New Roman"/>
          <w:i/>
          <w:iCs/>
          <w:sz w:val="20"/>
          <w:szCs w:val="20"/>
        </w:rPr>
        <w:t>fe Balance Around the World</w:t>
      </w:r>
      <w:r w:rsidRPr="009C1652">
        <w:rPr>
          <w:rFonts w:ascii="Times New Roman" w:hAnsi="Times New Roman" w:cs="Times New Roman"/>
          <w:sz w:val="20"/>
          <w:szCs w:val="20"/>
        </w:rPr>
        <w:t xml:space="preserve"> 38 (Int’l Lab. Org. 2022).</w:t>
      </w:r>
    </w:p>
  </w:footnote>
  <w:footnote w:id="6">
    <w:p w14:paraId="00000079"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World Health Org. &amp; Int’l Lab. Org.,</w:t>
      </w:r>
      <w:r w:rsidRPr="009C1652">
        <w:rPr>
          <w:rFonts w:ascii="Times New Roman" w:hAnsi="Times New Roman" w:cs="Times New Roman"/>
          <w:sz w:val="20"/>
          <w:szCs w:val="20"/>
        </w:rPr>
        <w:t xml:space="preserve"> </w:t>
      </w:r>
      <w:r w:rsidRPr="009C1652">
        <w:rPr>
          <w:rFonts w:ascii="Times New Roman" w:hAnsi="Times New Roman" w:cs="Times New Roman"/>
          <w:i/>
          <w:iCs/>
          <w:sz w:val="20"/>
          <w:szCs w:val="20"/>
        </w:rPr>
        <w:t>Long Working Hours Increasing Deaths from Heart Disease and Stroke</w:t>
      </w:r>
      <w:r w:rsidRPr="009C1652">
        <w:rPr>
          <w:rFonts w:ascii="Times New Roman" w:hAnsi="Times New Roman" w:cs="Times New Roman"/>
          <w:sz w:val="20"/>
          <w:szCs w:val="20"/>
        </w:rPr>
        <w:t xml:space="preserve"> 3 (World Health Org. &amp; Int’l Lab. Org. 2021).</w:t>
      </w:r>
    </w:p>
  </w:footnote>
  <w:footnote w:id="7">
    <w:p w14:paraId="00000056" w14:textId="6AD883F5"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Davidov, G. (2016) </w:t>
      </w:r>
      <w:r w:rsidRPr="009C1652">
        <w:rPr>
          <w:rFonts w:ascii="Times New Roman" w:hAnsi="Times New Roman" w:cs="Times New Roman"/>
          <w:i/>
          <w:iCs/>
          <w:sz w:val="20"/>
          <w:szCs w:val="20"/>
        </w:rPr>
        <w:t>A Purposive Approach to Labour Law</w:t>
      </w:r>
      <w:r w:rsidRPr="009C1652">
        <w:rPr>
          <w:rFonts w:ascii="Times New Roman" w:hAnsi="Times New Roman" w:cs="Times New Roman"/>
          <w:sz w:val="20"/>
          <w:szCs w:val="20"/>
        </w:rPr>
        <w:t>. Oxford: Oxford University Pr</w:t>
      </w:r>
      <w:r w:rsidRPr="009C1652">
        <w:rPr>
          <w:rFonts w:ascii="Times New Roman" w:hAnsi="Times New Roman" w:cs="Times New Roman"/>
          <w:sz w:val="20"/>
          <w:szCs w:val="20"/>
        </w:rPr>
        <w:t>ess.</w:t>
      </w:r>
      <w:r w:rsidR="009C1652">
        <w:rPr>
          <w:rFonts w:ascii="Times New Roman" w:hAnsi="Times New Roman" w:cs="Times New Roman"/>
          <w:sz w:val="20"/>
          <w:szCs w:val="20"/>
        </w:rPr>
        <w:t xml:space="preserve"> </w:t>
      </w:r>
      <w:r w:rsidRPr="009C1652">
        <w:rPr>
          <w:rFonts w:ascii="Times New Roman" w:hAnsi="Times New Roman" w:cs="Times New Roman"/>
          <w:sz w:val="20"/>
          <w:szCs w:val="20"/>
        </w:rPr>
        <w:t>&lt;</w:t>
      </w:r>
      <w:r w:rsidRPr="009C1652">
        <w:rPr>
          <w:rFonts w:ascii="Times New Roman" w:hAnsi="Times New Roman" w:cs="Times New Roman"/>
          <w:sz w:val="20"/>
          <w:szCs w:val="20"/>
          <w:highlight w:val="white"/>
        </w:rPr>
        <w:t>https://doi.org/10.1093/acprof:oso/9780198759034.001.0001</w:t>
      </w:r>
      <w:r w:rsidRPr="009C1652">
        <w:rPr>
          <w:rFonts w:ascii="Times New Roman" w:hAnsi="Times New Roman" w:cs="Times New Roman"/>
          <w:sz w:val="20"/>
          <w:szCs w:val="20"/>
        </w:rPr>
        <w:t>&gt;</w:t>
      </w:r>
    </w:p>
  </w:footnote>
  <w:footnote w:id="8">
    <w:p w14:paraId="0000005F"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W.P. No. 17081 of 2021 (Telangana High Ct.).</w:t>
      </w:r>
    </w:p>
  </w:footnote>
  <w:footnote w:id="9">
    <w:p w14:paraId="00000060"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Uber India Systems Pvt. Ltd. v. Commissioner of Labour, Telangana, W.P. No. </w:t>
      </w:r>
      <w:r w:rsidRPr="009C1652">
        <w:rPr>
          <w:rFonts w:ascii="Times New Roman" w:hAnsi="Times New Roman" w:cs="Times New Roman"/>
          <w:sz w:val="20"/>
          <w:szCs w:val="20"/>
        </w:rPr>
        <w:t>17081 of 2021 (Telangana High Ct.).</w:t>
      </w:r>
    </w:p>
  </w:footnote>
  <w:footnote w:id="10">
    <w:p w14:paraId="00000081"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Servs., Indus., Prof’l &amp; Tech. Union (SIPTU) v. Health Serv. Exec., [2015] IEHC 419 (High Ct. Ir.)</w:t>
      </w:r>
    </w:p>
  </w:footnote>
  <w:footnote w:id="11">
    <w:p w14:paraId="0000004B"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Second National Commission on Labour, </w:t>
      </w:r>
      <w:r w:rsidRPr="009C1652">
        <w:rPr>
          <w:rFonts w:ascii="Times New Roman" w:hAnsi="Times New Roman" w:cs="Times New Roman"/>
          <w:i/>
          <w:iCs/>
          <w:sz w:val="20"/>
          <w:szCs w:val="20"/>
        </w:rPr>
        <w:t>Report of the Second National Commission on Labour</w:t>
      </w:r>
      <w:r w:rsidRPr="009C1652">
        <w:rPr>
          <w:rFonts w:ascii="Times New Roman" w:hAnsi="Times New Roman" w:cs="Times New Roman"/>
          <w:sz w:val="20"/>
          <w:szCs w:val="20"/>
        </w:rPr>
        <w:t xml:space="preserve"> ch. 3 (Gov’t of India 2002)</w:t>
      </w:r>
      <w:r w:rsidRPr="009C1652">
        <w:rPr>
          <w:rFonts w:ascii="Times New Roman" w:hAnsi="Times New Roman" w:cs="Times New Roman"/>
          <w:b/>
          <w:bCs/>
          <w:sz w:val="20"/>
          <w:szCs w:val="20"/>
        </w:rPr>
        <w:t>.</w:t>
      </w:r>
    </w:p>
  </w:footnote>
  <w:footnote w:id="12">
    <w:p w14:paraId="0000004D"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Code on Wages, No. 29 of 2019, India Code (2019).</w:t>
      </w:r>
    </w:p>
  </w:footnote>
  <w:footnote w:id="13">
    <w:p w14:paraId="0000004E"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Industrial Relations Code, No. 35 of 2020, India Code (2020).</w:t>
      </w:r>
    </w:p>
  </w:footnote>
  <w:footnote w:id="14">
    <w:p w14:paraId="0000004F"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Code on Social Secur</w:t>
      </w:r>
      <w:r w:rsidRPr="009C1652">
        <w:rPr>
          <w:rFonts w:ascii="Times New Roman" w:hAnsi="Times New Roman" w:cs="Times New Roman"/>
          <w:sz w:val="20"/>
          <w:szCs w:val="20"/>
        </w:rPr>
        <w:t>ity, No. 36 of 2020, India Code (2020).</w:t>
      </w:r>
    </w:p>
  </w:footnote>
  <w:footnote w:id="15">
    <w:p w14:paraId="00000050"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Occupational Safety, Health and Working Conditions Code, No. 37 of 2020, India Code (2020).</w:t>
      </w:r>
    </w:p>
  </w:footnote>
  <w:footnote w:id="16">
    <w:p w14:paraId="00000051"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Code on Wages, No. 29 of 2019, § 14, India Code (2019).</w:t>
      </w:r>
    </w:p>
  </w:footnote>
  <w:footnote w:id="17">
    <w:p w14:paraId="00000052"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Code on Wages, No. 29 of 2019, § 13, India Code (2019)</w:t>
      </w:r>
    </w:p>
  </w:footnote>
  <w:footnote w:id="18">
    <w:p w14:paraId="00000053"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Code </w:t>
      </w:r>
      <w:r w:rsidRPr="009C1652">
        <w:rPr>
          <w:rFonts w:ascii="Times New Roman" w:hAnsi="Times New Roman" w:cs="Times New Roman"/>
          <w:sz w:val="20"/>
          <w:szCs w:val="20"/>
        </w:rPr>
        <w:t>on Wages, No. 29 of 2019, § 2(z), India Code (2019)</w:t>
      </w:r>
    </w:p>
  </w:footnote>
  <w:footnote w:id="19">
    <w:p w14:paraId="0000005E" w14:textId="4F03E25E" w:rsidR="009C4276" w:rsidRPr="009C1652" w:rsidRDefault="00CD7FA7" w:rsidP="009C1652">
      <w:pPr>
        <w:spacing w:line="240" w:lineRule="auto"/>
        <w:rPr>
          <w:rFonts w:ascii="Times New Roman" w:eastAsia="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eastAsia="Times New Roman" w:hAnsi="Times New Roman" w:cs="Times New Roman"/>
          <w:sz w:val="20"/>
          <w:szCs w:val="20"/>
          <w:vertAlign w:val="superscript"/>
        </w:rPr>
        <w:t xml:space="preserve"> </w:t>
      </w:r>
      <w:r w:rsidRPr="009C1652">
        <w:rPr>
          <w:rFonts w:ascii="Times New Roman" w:eastAsia="Times New Roman" w:hAnsi="Times New Roman" w:cs="Times New Roman"/>
          <w:sz w:val="20"/>
          <w:szCs w:val="20"/>
        </w:rPr>
        <w:t xml:space="preserve">Valerio De Stefano, Ilda Durri, Charalampos Stylogiannis &amp; Mathias Wouters, </w:t>
      </w:r>
      <w:r w:rsidRPr="009C1652">
        <w:rPr>
          <w:rFonts w:ascii="Times New Roman" w:eastAsia="Times New Roman" w:hAnsi="Times New Roman" w:cs="Times New Roman"/>
          <w:i/>
          <w:iCs/>
          <w:sz w:val="20"/>
          <w:szCs w:val="20"/>
        </w:rPr>
        <w:t>Platform Work and the Employment Relationship</w:t>
      </w:r>
      <w:r w:rsidRPr="009C1652">
        <w:rPr>
          <w:rFonts w:ascii="Times New Roman" w:eastAsia="Times New Roman" w:hAnsi="Times New Roman" w:cs="Times New Roman"/>
          <w:sz w:val="20"/>
          <w:szCs w:val="20"/>
        </w:rPr>
        <w:t>, ILO Working Paper No. 27 (Int’l Labour Org. 2021).</w:t>
      </w:r>
      <w:r w:rsidR="009C1652">
        <w:rPr>
          <w:rFonts w:ascii="Times New Roman" w:eastAsia="Times New Roman" w:hAnsi="Times New Roman" w:cs="Times New Roman"/>
          <w:sz w:val="20"/>
          <w:szCs w:val="20"/>
        </w:rPr>
        <w:t xml:space="preserve"> </w:t>
      </w:r>
      <w:r w:rsidRPr="009C1652">
        <w:rPr>
          <w:rFonts w:ascii="Times New Roman" w:eastAsia="Times New Roman" w:hAnsi="Times New Roman" w:cs="Times New Roman"/>
          <w:sz w:val="20"/>
          <w:szCs w:val="20"/>
        </w:rPr>
        <w:t>&lt;https://www.ilo.org/media/387376/download&gt;</w:t>
      </w:r>
    </w:p>
  </w:footnote>
  <w:footnote w:id="20">
    <w:p w14:paraId="0000007A"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FE Business, </w:t>
      </w:r>
      <w:r w:rsidRPr="009C1652">
        <w:rPr>
          <w:rFonts w:ascii="Times New Roman" w:hAnsi="Times New Roman" w:cs="Times New Roman"/>
          <w:i/>
          <w:iCs/>
          <w:sz w:val="20"/>
          <w:szCs w:val="20"/>
        </w:rPr>
        <w:t>Rs 34 an Hour? We Did a “Shocking” Reality Check for Blinkit CEO Albinder Dhindsa</w:t>
      </w:r>
      <w:r w:rsidRPr="009C1652">
        <w:rPr>
          <w:rFonts w:ascii="Times New Roman" w:hAnsi="Times New Roman" w:cs="Times New Roman"/>
          <w:sz w:val="20"/>
          <w:szCs w:val="20"/>
        </w:rPr>
        <w:t>, Fin. Express (Jan. 15, 2026) &lt;https://www.financialexpress.com/business/news/rs-34-an-hour-we-did-a-shocking-reality-check-for-blinkit-ceo-albinder-dhindsa/4108095/&gt;</w:t>
      </w:r>
    </w:p>
  </w:footnote>
  <w:footnote w:id="21">
    <w:p w14:paraId="00000054"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Uber BV v. Aslam, [2021] UKSC 5, ¶72–76 (U.K.).</w:t>
      </w:r>
    </w:p>
  </w:footnote>
  <w:footnote w:id="22">
    <w:p w14:paraId="00000055"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Industrial Relations Code, No. 35 of 2020, § 29, India Code (2020)</w:t>
      </w:r>
    </w:p>
  </w:footnote>
  <w:footnote w:id="23">
    <w:p w14:paraId="00000063"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Rifan Mohideen D. &amp; Rishad Mehta, </w:t>
      </w:r>
      <w:r w:rsidRPr="009C1652">
        <w:rPr>
          <w:rFonts w:ascii="Times New Roman" w:hAnsi="Times New Roman" w:cs="Times New Roman"/>
          <w:i/>
          <w:iCs/>
          <w:sz w:val="20"/>
          <w:szCs w:val="20"/>
        </w:rPr>
        <w:t>‘Standing Orders’: A Tool That Increases the Bargaining Power Between the Employer and Employee?</w:t>
      </w:r>
      <w:r w:rsidRPr="009C1652">
        <w:rPr>
          <w:rFonts w:ascii="Times New Roman" w:hAnsi="Times New Roman" w:cs="Times New Roman"/>
          <w:sz w:val="20"/>
          <w:szCs w:val="20"/>
        </w:rPr>
        <w:t>, In</w:t>
      </w:r>
      <w:r w:rsidRPr="009C1652">
        <w:rPr>
          <w:rFonts w:ascii="Times New Roman" w:hAnsi="Times New Roman" w:cs="Times New Roman"/>
          <w:sz w:val="20"/>
          <w:szCs w:val="20"/>
        </w:rPr>
        <w:t>dian J. L. &amp; Legal Rsch. (June 24, 2023), &lt;https://www.ijllr.com/post/standing-orders-a-tool-that-increases-the-bargaining-power-between-the-employer-and-employee&gt;</w:t>
      </w:r>
    </w:p>
  </w:footnote>
  <w:footnote w:id="24">
    <w:p w14:paraId="00000068"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Code on Social Security, No. 36 of 2020, § 2(35), India Code (2020).</w:t>
      </w:r>
    </w:p>
  </w:footnote>
  <w:footnote w:id="25">
    <w:p w14:paraId="00000069"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Code on Social Security, No. 36 of 2020, § 2(61), India Code (2020).</w:t>
      </w:r>
    </w:p>
  </w:footnote>
  <w:footnote w:id="26">
    <w:p w14:paraId="0000006A"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Code on Social Security, No. 36 of 2020, § 109, India Code (2</w:t>
      </w:r>
      <w:r w:rsidRPr="009C1652">
        <w:rPr>
          <w:rFonts w:ascii="Times New Roman" w:hAnsi="Times New Roman" w:cs="Times New Roman"/>
          <w:sz w:val="20"/>
          <w:szCs w:val="20"/>
        </w:rPr>
        <w:t>020).</w:t>
      </w:r>
    </w:p>
  </w:footnote>
  <w:footnote w:id="27">
    <w:p w14:paraId="0000006C" w14:textId="7B758865"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Occupational Safety, Health and Working Conditions Code, No. 37 of 2020, § 25, India Code (2020).</w:t>
      </w:r>
    </w:p>
  </w:footnote>
  <w:footnote w:id="28">
    <w:p w14:paraId="0000006D"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Occupational Safety, Health and Working Conditions Code, No. 37 of 2020, § 26, India Code (2020).</w:t>
      </w:r>
    </w:p>
  </w:footnote>
  <w:footnote w:id="29">
    <w:p w14:paraId="0000006E"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Occupational Safety, Health and Working Conditions Code, No. 37 of 2020, § 27, India Code (2020).</w:t>
      </w:r>
    </w:p>
  </w:footnote>
  <w:footnote w:id="30">
    <w:p w14:paraId="0000006F"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Occupational Safety, Health and Working Conditions Code, No. 37 of 2020, §§ 2(y), sch. I, India Code (2020).</w:t>
      </w:r>
    </w:p>
  </w:footnote>
  <w:footnote w:id="31">
    <w:p w14:paraId="00000070"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Rajasthan Platform Based Gig Workers (Regist</w:t>
      </w:r>
      <w:r w:rsidRPr="009C1652">
        <w:rPr>
          <w:rFonts w:ascii="Times New Roman" w:hAnsi="Times New Roman" w:cs="Times New Roman"/>
          <w:sz w:val="20"/>
          <w:szCs w:val="20"/>
        </w:rPr>
        <w:t>ration and Welfare) Act, No. 29 of 2023 (Rajasthan, India).</w:t>
      </w:r>
    </w:p>
  </w:footnote>
  <w:footnote w:id="32">
    <w:p w14:paraId="00000071"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Int’l Labour Org., </w:t>
      </w:r>
      <w:r w:rsidRPr="009C1652">
        <w:rPr>
          <w:rFonts w:ascii="Times New Roman" w:hAnsi="Times New Roman" w:cs="Times New Roman"/>
          <w:i/>
          <w:iCs/>
          <w:sz w:val="20"/>
          <w:szCs w:val="20"/>
        </w:rPr>
        <w:t>The Algorithmic Management of Work and Its Implications in Different Contexts</w:t>
      </w:r>
      <w:r w:rsidRPr="009C1652">
        <w:rPr>
          <w:rFonts w:ascii="Times New Roman" w:hAnsi="Times New Roman" w:cs="Times New Roman"/>
          <w:sz w:val="20"/>
          <w:szCs w:val="20"/>
        </w:rPr>
        <w:t xml:space="preserve"> (Background Paper, Sept. 2022), &lt;https://www.ilo.org/media/372856/download&gt;</w:t>
      </w:r>
    </w:p>
  </w:footnote>
  <w:footnote w:id="33">
    <w:p w14:paraId="00000072"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Adam Behrendt, Mart</w:t>
      </w:r>
      <w:r w:rsidRPr="009C1652">
        <w:rPr>
          <w:rFonts w:ascii="Times New Roman" w:hAnsi="Times New Roman" w:cs="Times New Roman"/>
          <w:sz w:val="20"/>
          <w:szCs w:val="20"/>
        </w:rPr>
        <w:t xml:space="preserve">in Savelsbergh &amp; Hongyang Wang, </w:t>
      </w:r>
      <w:r w:rsidRPr="009C1652">
        <w:rPr>
          <w:rFonts w:ascii="Times New Roman" w:hAnsi="Times New Roman" w:cs="Times New Roman"/>
          <w:i/>
          <w:iCs/>
          <w:sz w:val="20"/>
          <w:szCs w:val="20"/>
        </w:rPr>
        <w:t>Task Assignment, Pricing, and Capacity Planning for a Hybrid Fleet of Centralized and Decentralized Couriers</w:t>
      </w:r>
      <w:r w:rsidRPr="009C1652">
        <w:rPr>
          <w:rFonts w:ascii="Times New Roman" w:hAnsi="Times New Roman" w:cs="Times New Roman"/>
          <w:sz w:val="20"/>
          <w:szCs w:val="20"/>
        </w:rPr>
        <w:t>, 160 Transp. Rsch. Part C: Emerging Techs. 104533 (2024), &lt;https://doi.org/10.1016/j.trc.2024.104533&gt;</w:t>
      </w:r>
    </w:p>
  </w:footnote>
  <w:footnote w:id="34">
    <w:p w14:paraId="00000073"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Jun-E Tan &amp;</w:t>
      </w:r>
      <w:r w:rsidRPr="009C1652">
        <w:rPr>
          <w:rFonts w:ascii="Times New Roman" w:hAnsi="Times New Roman" w:cs="Times New Roman"/>
          <w:sz w:val="20"/>
          <w:szCs w:val="20"/>
        </w:rPr>
        <w:t xml:space="preserve"> Rachel Gong, </w:t>
      </w:r>
      <w:r w:rsidRPr="009C1652">
        <w:rPr>
          <w:rFonts w:ascii="Times New Roman" w:hAnsi="Times New Roman" w:cs="Times New Roman"/>
          <w:i/>
          <w:iCs/>
          <w:sz w:val="20"/>
          <w:szCs w:val="20"/>
        </w:rPr>
        <w:t>The Plight of Platform Workers Under Algorithmic Management in Southeast Asia</w:t>
      </w:r>
      <w:r w:rsidRPr="009C1652">
        <w:rPr>
          <w:rFonts w:ascii="Times New Roman" w:hAnsi="Times New Roman" w:cs="Times New Roman"/>
          <w:sz w:val="20"/>
          <w:szCs w:val="20"/>
        </w:rPr>
        <w:t>, Carnegie Endowment for Int’l Peace (Apr. 30, 2024),  &lt;https://carnegieendowment.org/russia-eurasia/research/2024/04/the-plight-of-platform-workers-under-algorithmi</w:t>
      </w:r>
      <w:r w:rsidRPr="009C1652">
        <w:rPr>
          <w:rFonts w:ascii="Times New Roman" w:hAnsi="Times New Roman" w:cs="Times New Roman"/>
          <w:sz w:val="20"/>
          <w:szCs w:val="20"/>
        </w:rPr>
        <w:t>c-management-in-southeast-asia&gt;</w:t>
      </w:r>
    </w:p>
  </w:footnote>
  <w:footnote w:id="35">
    <w:p w14:paraId="00000074"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NITI Aayog, </w:t>
      </w:r>
      <w:r w:rsidRPr="009C1652">
        <w:rPr>
          <w:rFonts w:ascii="Times New Roman" w:hAnsi="Times New Roman" w:cs="Times New Roman"/>
          <w:i/>
          <w:iCs/>
          <w:sz w:val="20"/>
          <w:szCs w:val="20"/>
        </w:rPr>
        <w:t>India’s Booming Gig and Platform Economy: Perspectives and Recommendations on the Future of Work</w:t>
      </w:r>
      <w:r w:rsidRPr="009C1652">
        <w:rPr>
          <w:rFonts w:ascii="Times New Roman" w:hAnsi="Times New Roman" w:cs="Times New Roman"/>
          <w:sz w:val="20"/>
          <w:szCs w:val="20"/>
        </w:rPr>
        <w:t xml:space="preserve"> (June 2022), &lt;https://www.niti.gov.in/sites/default/files/2023-02/25th_June_Final_Report_27062022.pdf&gt;</w:t>
      </w:r>
    </w:p>
  </w:footnote>
  <w:footnote w:id="36">
    <w:p w14:paraId="00000075"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Kari Pau</w:t>
      </w:r>
      <w:r w:rsidRPr="009C1652">
        <w:rPr>
          <w:rFonts w:ascii="Times New Roman" w:hAnsi="Times New Roman" w:cs="Times New Roman"/>
          <w:sz w:val="20"/>
          <w:szCs w:val="20"/>
        </w:rPr>
        <w:t xml:space="preserve">l, </w:t>
      </w:r>
      <w:r w:rsidRPr="009C1652">
        <w:rPr>
          <w:rFonts w:ascii="Times New Roman" w:hAnsi="Times New Roman" w:cs="Times New Roman"/>
          <w:i/>
          <w:iCs/>
          <w:sz w:val="20"/>
          <w:szCs w:val="20"/>
        </w:rPr>
        <w:t>Uber to Ban Riders with Low Ratings: Will You Pass the Test?</w:t>
      </w:r>
      <w:r w:rsidRPr="009C1652">
        <w:rPr>
          <w:rFonts w:ascii="Times New Roman" w:hAnsi="Times New Roman" w:cs="Times New Roman"/>
          <w:sz w:val="20"/>
          <w:szCs w:val="20"/>
        </w:rPr>
        <w:t>, Guardian (May 31, 2019), &lt;https://www.theguardian.com/technology/2019/may/31/uber-to-ban-riders-with-low-ratings&gt;</w:t>
      </w:r>
    </w:p>
  </w:footnote>
  <w:footnote w:id="37">
    <w:p w14:paraId="00000076"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Jeremias Adams-Prassl, </w:t>
      </w:r>
      <w:r w:rsidRPr="009C1652">
        <w:rPr>
          <w:rFonts w:ascii="Times New Roman" w:hAnsi="Times New Roman" w:cs="Times New Roman"/>
          <w:i/>
          <w:iCs/>
          <w:sz w:val="20"/>
          <w:szCs w:val="20"/>
        </w:rPr>
        <w:t>Regulating Algorithmic Management: A Blueprint</w:t>
      </w:r>
      <w:r w:rsidRPr="009C1652">
        <w:rPr>
          <w:rFonts w:ascii="Times New Roman" w:hAnsi="Times New Roman" w:cs="Times New Roman"/>
          <w:sz w:val="20"/>
          <w:szCs w:val="20"/>
        </w:rPr>
        <w:t>, 44 C</w:t>
      </w:r>
      <w:r w:rsidRPr="009C1652">
        <w:rPr>
          <w:rFonts w:ascii="Times New Roman" w:hAnsi="Times New Roman" w:cs="Times New Roman"/>
          <w:sz w:val="20"/>
          <w:szCs w:val="20"/>
        </w:rPr>
        <w:t>omp. Lab. L. &amp; Pol’y J. (2023), &lt;https://doi.org/10.1177/20319525231167299&gt;</w:t>
      </w:r>
    </w:p>
  </w:footnote>
  <w:footnote w:id="38">
    <w:p w14:paraId="0000007B"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Ratna</w:t>
      </w:r>
      <w:r w:rsidRPr="009C1652">
        <w:rPr>
          <w:rFonts w:ascii="Times New Roman" w:hAnsi="Times New Roman" w:cs="Times New Roman"/>
          <w:sz w:val="20"/>
          <w:szCs w:val="20"/>
        </w:rPr>
        <w:t xml:space="preserve"> Bhushan, </w:t>
      </w:r>
      <w:r w:rsidRPr="009C1652">
        <w:rPr>
          <w:rFonts w:ascii="Times New Roman" w:hAnsi="Times New Roman" w:cs="Times New Roman"/>
          <w:i/>
          <w:iCs/>
          <w:sz w:val="20"/>
          <w:szCs w:val="20"/>
        </w:rPr>
        <w:t>Blinkit Brings Surge Pricing to Grocery</w:t>
      </w:r>
      <w:r w:rsidRPr="009C1652">
        <w:rPr>
          <w:rFonts w:ascii="Times New Roman" w:hAnsi="Times New Roman" w:cs="Times New Roman"/>
          <w:sz w:val="20"/>
          <w:szCs w:val="20"/>
        </w:rPr>
        <w:t>, Econ. Times (Mar. 12, 2022), &lt;https://economictimes.indiatimes.com/industry/services/retail/blinkit-brings-surge-pricing-to-grocery/articleshow/90159477.cms?from=mdr&gt;</w:t>
      </w:r>
    </w:p>
  </w:footnote>
  <w:footnote w:id="39">
    <w:p w14:paraId="0000007C"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India Development Review, </w:t>
      </w:r>
      <w:r w:rsidRPr="009C1652">
        <w:rPr>
          <w:rFonts w:ascii="Times New Roman" w:hAnsi="Times New Roman" w:cs="Times New Roman"/>
          <w:i/>
          <w:iCs/>
          <w:sz w:val="20"/>
          <w:szCs w:val="20"/>
        </w:rPr>
        <w:t>What the D</w:t>
      </w:r>
      <w:r w:rsidRPr="009C1652">
        <w:rPr>
          <w:rFonts w:ascii="Times New Roman" w:hAnsi="Times New Roman" w:cs="Times New Roman"/>
          <w:i/>
          <w:iCs/>
          <w:sz w:val="20"/>
          <w:szCs w:val="20"/>
        </w:rPr>
        <w:t>ata Reveals About India’s Gig Workers</w:t>
      </w:r>
      <w:r w:rsidRPr="009C1652">
        <w:rPr>
          <w:rFonts w:ascii="Times New Roman" w:hAnsi="Times New Roman" w:cs="Times New Roman"/>
          <w:sz w:val="20"/>
          <w:szCs w:val="20"/>
        </w:rPr>
        <w:t>, India Dev. Rev. (Jan. 20, 2026) &lt;https://idronline.org/article/livelihoods/what-the-data-reveals-about-indias-gig-workers/&gt;</w:t>
      </w:r>
    </w:p>
  </w:footnote>
  <w:footnote w:id="40">
    <w:p w14:paraId="0000007D"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Sara Baiocco, Enrique Fernández-Macías, Uma Rani &amp; Annarosa Pesole, </w:t>
      </w:r>
      <w:r w:rsidRPr="009C1652">
        <w:rPr>
          <w:rFonts w:ascii="Times New Roman" w:hAnsi="Times New Roman" w:cs="Times New Roman"/>
          <w:i/>
          <w:iCs/>
          <w:sz w:val="20"/>
          <w:szCs w:val="20"/>
        </w:rPr>
        <w:t>The Algorithmic Managem</w:t>
      </w:r>
      <w:r w:rsidRPr="009C1652">
        <w:rPr>
          <w:rFonts w:ascii="Times New Roman" w:hAnsi="Times New Roman" w:cs="Times New Roman"/>
          <w:i/>
          <w:iCs/>
          <w:sz w:val="20"/>
          <w:szCs w:val="20"/>
        </w:rPr>
        <w:t>ent of Work and Its Implications in Different Contexts</w:t>
      </w:r>
      <w:r w:rsidRPr="009C1652">
        <w:rPr>
          <w:rFonts w:ascii="Times New Roman" w:hAnsi="Times New Roman" w:cs="Times New Roman"/>
          <w:sz w:val="20"/>
          <w:szCs w:val="20"/>
        </w:rPr>
        <w:t>, Background Paper No. 9 (Int’l Labour Org. June 2022), &lt;https://www.ilo.org/media/372856/download&gt;</w:t>
      </w:r>
    </w:p>
  </w:footnote>
  <w:footnote w:id="41">
    <w:p w14:paraId="00000061"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Code du Travail [French Labour Code] art. L.2242-17 (Fr.).</w:t>
      </w:r>
    </w:p>
  </w:footnote>
  <w:footnote w:id="42">
    <w:p w14:paraId="00000062"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Sénat, </w:t>
      </w:r>
      <w:r w:rsidRPr="009C1652">
        <w:rPr>
          <w:rFonts w:ascii="Times New Roman" w:hAnsi="Times New Roman" w:cs="Times New Roman"/>
          <w:i/>
          <w:iCs/>
          <w:sz w:val="20"/>
          <w:szCs w:val="20"/>
        </w:rPr>
        <w:t>Rapport sur le droit à la déconnexion</w:t>
      </w:r>
      <w:r w:rsidRPr="009C1652">
        <w:rPr>
          <w:rFonts w:ascii="Times New Roman" w:hAnsi="Times New Roman" w:cs="Times New Roman"/>
          <w:sz w:val="20"/>
          <w:szCs w:val="20"/>
        </w:rPr>
        <w:t xml:space="preserve"> 14 (2019).</w:t>
      </w:r>
    </w:p>
  </w:footnote>
  <w:footnote w:id="43">
    <w:p w14:paraId="00000064"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Código do Trabalho [Portuguese Labour Code] art. 199-A, inserted by Law No. 83/2021 of Dec</w:t>
      </w:r>
      <w:r w:rsidRPr="009C1652">
        <w:rPr>
          <w:rFonts w:ascii="Times New Roman" w:hAnsi="Times New Roman" w:cs="Times New Roman"/>
          <w:sz w:val="20"/>
          <w:szCs w:val="20"/>
        </w:rPr>
        <w:t>. 6, 2021 (Port.).</w:t>
      </w:r>
    </w:p>
  </w:footnote>
  <w:footnote w:id="44">
    <w:p w14:paraId="00000065"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Fair Work Legislation Amendment (Closing Loopholes No. 2) Act 2024 (Cth) (Austl.), inserting § 333M into the </w:t>
      </w:r>
      <w:r w:rsidRPr="009C1652">
        <w:rPr>
          <w:rFonts w:ascii="Times New Roman" w:hAnsi="Times New Roman" w:cs="Times New Roman"/>
          <w:i/>
          <w:iCs/>
          <w:sz w:val="20"/>
          <w:szCs w:val="20"/>
        </w:rPr>
        <w:t>Fair Work Act 2009</w:t>
      </w:r>
      <w:r w:rsidRPr="009C1652">
        <w:rPr>
          <w:rFonts w:ascii="Times New Roman" w:hAnsi="Times New Roman" w:cs="Times New Roman"/>
          <w:sz w:val="20"/>
          <w:szCs w:val="20"/>
        </w:rPr>
        <w:t xml:space="preserve"> (Cth) (Austl.).</w:t>
      </w:r>
    </w:p>
  </w:footnote>
  <w:footnote w:id="45">
    <w:p w14:paraId="00000067"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 Cas</w:t>
      </w:r>
      <w:r w:rsidRPr="009C1652">
        <w:rPr>
          <w:rFonts w:ascii="Times New Roman" w:hAnsi="Times New Roman" w:cs="Times New Roman"/>
          <w:sz w:val="20"/>
          <w:szCs w:val="20"/>
        </w:rPr>
        <w:t>e C-518/15, ECLI:EU:C:2018:82 (CJEU Feb. 21, 2018)</w:t>
      </w:r>
    </w:p>
  </w:footnote>
  <w:footnote w:id="46">
    <w:p w14:paraId="00000066"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Ville de Nivelles v. Matzak, Case C-518/15, ECLI:EU:C:2018:82 (CJEU Feb. 21, 2018)</w:t>
      </w:r>
    </w:p>
  </w:footnote>
  <w:footnote w:id="47">
    <w:p w14:paraId="0000007E"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Right to Disconnect Bill, 2025, Bill No. 51 of 2025, Lok Sabha (India).available at &lt;https://sansad.</w:t>
      </w:r>
      <w:r w:rsidRPr="009C1652">
        <w:rPr>
          <w:rFonts w:ascii="Times New Roman" w:hAnsi="Times New Roman" w:cs="Times New Roman"/>
          <w:sz w:val="20"/>
          <w:szCs w:val="20"/>
        </w:rPr>
        <w:t>in/getFile/BillsTexts/LSBillTexts/Asintroduced/51%20of%202025%20AS125202592416PM.pdf?source=legislation&gt;</w:t>
      </w:r>
    </w:p>
  </w:footnote>
  <w:footnote w:id="48">
    <w:p w14:paraId="0000007F" w14:textId="4D90AB75"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vertAlign w:val="superscript"/>
        </w:rPr>
        <w:t xml:space="preserve"> </w:t>
      </w:r>
      <w:r w:rsidRPr="009C1652">
        <w:rPr>
          <w:rFonts w:ascii="Times New Roman" w:hAnsi="Times New Roman" w:cs="Times New Roman"/>
          <w:sz w:val="20"/>
          <w:szCs w:val="20"/>
        </w:rPr>
        <w:t xml:space="preserve">Times of India, </w:t>
      </w:r>
      <w:r w:rsidRPr="009C1652">
        <w:rPr>
          <w:rFonts w:ascii="Times New Roman" w:hAnsi="Times New Roman" w:cs="Times New Roman"/>
          <w:i/>
          <w:iCs/>
          <w:sz w:val="20"/>
          <w:szCs w:val="20"/>
        </w:rPr>
        <w:t>Kerala’s Right to Disconnect Bill 2025: Employees Can Ignore Work Calls/Emails After Hours — 5 Countries That Already Do It</w:t>
      </w:r>
      <w:r w:rsidRPr="009C1652">
        <w:rPr>
          <w:rFonts w:ascii="Times New Roman" w:hAnsi="Times New Roman" w:cs="Times New Roman"/>
          <w:sz w:val="20"/>
          <w:szCs w:val="20"/>
        </w:rPr>
        <w:t>, Times of India (Oct. 24, 2025), &lt;https://timesofindia.indiatimes.com/life-style/relationships/work/keralas-right-to-disconnect-bill-2025-employees-can-ignore-work-calls/-emails-after-hours-5-countries-that-already-do-it/photostory/124785621.cms&gt;</w:t>
      </w:r>
    </w:p>
  </w:footnote>
  <w:footnote w:id="49">
    <w:p w14:paraId="00000080" w14:textId="77777777" w:rsidR="009C4276" w:rsidRPr="009C1652" w:rsidRDefault="00CD7FA7" w:rsidP="009C1652">
      <w:pPr>
        <w:spacing w:line="240" w:lineRule="auto"/>
        <w:rPr>
          <w:rFonts w:ascii="Times New Roman" w:hAnsi="Times New Roman" w:cs="Times New Roman"/>
          <w:sz w:val="20"/>
          <w:szCs w:val="20"/>
        </w:rPr>
      </w:pPr>
      <w:r w:rsidRPr="009C1652">
        <w:rPr>
          <w:rFonts w:ascii="Times New Roman" w:hAnsi="Times New Roman" w:cs="Times New Roman"/>
          <w:sz w:val="20"/>
          <w:szCs w:val="20"/>
          <w:vertAlign w:val="superscript"/>
        </w:rPr>
        <w:footnoteRef/>
      </w:r>
      <w:r w:rsidRPr="009C1652">
        <w:rPr>
          <w:rFonts w:ascii="Times New Roman" w:hAnsi="Times New Roman" w:cs="Times New Roman"/>
          <w:sz w:val="20"/>
          <w:szCs w:val="20"/>
        </w:rPr>
        <w:t xml:space="preserve"> Zameer</w:t>
      </w:r>
      <w:r w:rsidRPr="009C1652">
        <w:rPr>
          <w:rFonts w:ascii="Times New Roman" w:hAnsi="Times New Roman" w:cs="Times New Roman"/>
          <w:sz w:val="20"/>
          <w:szCs w:val="20"/>
        </w:rPr>
        <w:t xml:space="preserve"> Ahmed Latifur Rehman Sheikh v. State of Maharashtra, (2010) 5 SCC 246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276"/>
    <w:rsid w:val="002F25DA"/>
    <w:rsid w:val="003B1C0C"/>
    <w:rsid w:val="003C0BC0"/>
    <w:rsid w:val="009C1652"/>
    <w:rsid w:val="009C4276"/>
    <w:rsid w:val="00CD7FA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64882"/>
  <w15:docId w15:val="{A042667E-4D68-4D4E-BFBB-4102959D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hi-IN"/>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C1652"/>
    <w:pPr>
      <w:tabs>
        <w:tab w:val="center" w:pos="4680"/>
        <w:tab w:val="right" w:pos="9360"/>
      </w:tabs>
      <w:spacing w:line="240" w:lineRule="auto"/>
    </w:pPr>
    <w:rPr>
      <w:rFonts w:cs="Mangal"/>
      <w:szCs w:val="20"/>
    </w:rPr>
  </w:style>
  <w:style w:type="character" w:customStyle="1" w:styleId="HeaderChar">
    <w:name w:val="Header Char"/>
    <w:basedOn w:val="DefaultParagraphFont"/>
    <w:link w:val="Header"/>
    <w:uiPriority w:val="99"/>
    <w:rsid w:val="009C1652"/>
    <w:rPr>
      <w:rFonts w:cs="Mangal"/>
      <w:szCs w:val="20"/>
    </w:rPr>
  </w:style>
  <w:style w:type="paragraph" w:styleId="Footer">
    <w:name w:val="footer"/>
    <w:basedOn w:val="Normal"/>
    <w:link w:val="FooterChar"/>
    <w:uiPriority w:val="99"/>
    <w:unhideWhenUsed/>
    <w:rsid w:val="009C1652"/>
    <w:pPr>
      <w:tabs>
        <w:tab w:val="center" w:pos="4680"/>
        <w:tab w:val="right" w:pos="9360"/>
      </w:tabs>
      <w:spacing w:line="240" w:lineRule="auto"/>
    </w:pPr>
    <w:rPr>
      <w:rFonts w:cs="Mangal"/>
      <w:szCs w:val="20"/>
    </w:rPr>
  </w:style>
  <w:style w:type="character" w:customStyle="1" w:styleId="FooterChar">
    <w:name w:val="Footer Char"/>
    <w:basedOn w:val="DefaultParagraphFont"/>
    <w:link w:val="Footer"/>
    <w:uiPriority w:val="99"/>
    <w:rsid w:val="009C1652"/>
    <w:rPr>
      <w:rFonts w:cs="Mangal"/>
      <w:szCs w:val="20"/>
    </w:rPr>
  </w:style>
  <w:style w:type="paragraph" w:styleId="FootnoteText">
    <w:name w:val="footnote text"/>
    <w:basedOn w:val="Normal"/>
    <w:link w:val="FootnoteTextChar"/>
    <w:uiPriority w:val="99"/>
    <w:semiHidden/>
    <w:unhideWhenUsed/>
    <w:rsid w:val="009C1652"/>
    <w:pPr>
      <w:spacing w:line="240" w:lineRule="auto"/>
    </w:pPr>
    <w:rPr>
      <w:rFonts w:cs="Mangal"/>
      <w:sz w:val="20"/>
      <w:szCs w:val="18"/>
    </w:rPr>
  </w:style>
  <w:style w:type="character" w:customStyle="1" w:styleId="FootnoteTextChar">
    <w:name w:val="Footnote Text Char"/>
    <w:basedOn w:val="DefaultParagraphFont"/>
    <w:link w:val="FootnoteText"/>
    <w:uiPriority w:val="99"/>
    <w:semiHidden/>
    <w:rsid w:val="009C1652"/>
    <w:rPr>
      <w:rFonts w:cs="Mangal"/>
      <w:sz w:val="20"/>
      <w:szCs w:val="18"/>
    </w:rPr>
  </w:style>
  <w:style w:type="character" w:styleId="FootnoteReference">
    <w:name w:val="footnote reference"/>
    <w:basedOn w:val="DefaultParagraphFont"/>
    <w:uiPriority w:val="99"/>
    <w:semiHidden/>
    <w:unhideWhenUsed/>
    <w:rsid w:val="009C16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4678</Words>
  <Characters>26666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Navita</cp:lastModifiedBy>
  <cp:revision>2</cp:revision>
  <dcterms:created xsi:type="dcterms:W3CDTF">2026-03-07T19:04:00Z</dcterms:created>
  <dcterms:modified xsi:type="dcterms:W3CDTF">2026-03-07T19:04:00Z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06db1713-65ba-4ddd-b590-fbf66abf1e6e</vt:lpwstr>
  </property>
</Properties>
</file>