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FBE63" w14:textId="77777777" w:rsidR="005B0BC1" w:rsidRPr="005B0BC1" w:rsidRDefault="005B0BC1" w:rsidP="001E44FD">
      <w:pPr>
        <w:spacing w:line="240" w:lineRule="auto"/>
        <w:jc w:val="center"/>
        <w:rPr>
          <w:rFonts w:ascii="Times New Roman" w:hAnsi="Times New Roman" w:cs="Times New Roman"/>
          <w:b/>
          <w:bCs/>
          <w:sz w:val="28"/>
          <w:szCs w:val="28"/>
        </w:rPr>
      </w:pPr>
      <w:r w:rsidRPr="005B0BC1">
        <w:rPr>
          <w:rFonts w:ascii="Times New Roman" w:hAnsi="Times New Roman" w:cs="Times New Roman"/>
          <w:b/>
          <w:bCs/>
          <w:sz w:val="28"/>
          <w:szCs w:val="28"/>
        </w:rPr>
        <w:t>Precarity by Design: Re-Examining the Right to Dignified Work under India’s New Labour Codes</w:t>
      </w:r>
    </w:p>
    <w:p w14:paraId="2FDDA0B5" w14:textId="7455209D" w:rsidR="006F2E72" w:rsidRPr="001E44FD" w:rsidRDefault="001E44FD" w:rsidP="001E44FD">
      <w:pPr>
        <w:spacing w:line="240" w:lineRule="auto"/>
        <w:jc w:val="center"/>
        <w:rPr>
          <w:rFonts w:ascii="Times New Roman" w:hAnsi="Times New Roman" w:cs="Times New Roman"/>
          <w:b/>
          <w:bCs/>
        </w:rPr>
      </w:pPr>
      <w:r w:rsidRPr="001E44FD">
        <w:rPr>
          <w:rFonts w:ascii="Times New Roman" w:hAnsi="Times New Roman" w:cs="Times New Roman"/>
          <w:b/>
          <w:bCs/>
        </w:rPr>
        <w:t>Aditya Thakur</w:t>
      </w:r>
      <w:r>
        <w:rPr>
          <w:rStyle w:val="FootnoteReference"/>
          <w:rFonts w:ascii="Times New Roman" w:hAnsi="Times New Roman" w:cs="Times New Roman"/>
          <w:b/>
          <w:bCs/>
        </w:rPr>
        <w:footnoteReference w:id="1"/>
      </w:r>
    </w:p>
    <w:p w14:paraId="08AD1D99" w14:textId="77777777" w:rsidR="001E44FD" w:rsidRDefault="001E44FD" w:rsidP="00057362">
      <w:pPr>
        <w:spacing w:line="360" w:lineRule="auto"/>
        <w:jc w:val="center"/>
        <w:rPr>
          <w:rFonts w:ascii="Times New Roman" w:hAnsi="Times New Roman" w:cs="Times New Roman"/>
          <w:b/>
          <w:bCs/>
        </w:rPr>
      </w:pPr>
    </w:p>
    <w:p w14:paraId="7A27592C" w14:textId="6B8C83E7" w:rsidR="00057362" w:rsidRPr="00057362" w:rsidRDefault="00057362" w:rsidP="00057362">
      <w:pPr>
        <w:spacing w:line="360" w:lineRule="auto"/>
        <w:jc w:val="center"/>
        <w:rPr>
          <w:rFonts w:ascii="Times New Roman" w:hAnsi="Times New Roman" w:cs="Times New Roman"/>
          <w:b/>
          <w:bCs/>
        </w:rPr>
      </w:pPr>
      <w:r w:rsidRPr="00057362">
        <w:rPr>
          <w:rFonts w:ascii="Times New Roman" w:hAnsi="Times New Roman" w:cs="Times New Roman"/>
          <w:b/>
          <w:bCs/>
        </w:rPr>
        <w:t>Abstract</w:t>
      </w:r>
    </w:p>
    <w:p w14:paraId="5294E7F1" w14:textId="77777777" w:rsidR="00057362" w:rsidRPr="00057362" w:rsidRDefault="00057362" w:rsidP="00057362">
      <w:pPr>
        <w:spacing w:line="360" w:lineRule="auto"/>
        <w:rPr>
          <w:rFonts w:ascii="Times New Roman" w:hAnsi="Times New Roman" w:cs="Times New Roman"/>
        </w:rPr>
      </w:pPr>
      <w:r w:rsidRPr="00057362">
        <w:rPr>
          <w:rFonts w:ascii="Times New Roman" w:hAnsi="Times New Roman" w:cs="Times New Roman"/>
        </w:rPr>
        <w:t>The consolidation of India’s labour legislation into four Labour Codes represents a significant shift in the regulation of work, justified by objectives of simplification, flexibility, and economic efficiency. While these reforms promise ease of compliance and employment generation, they raise serious concerns regarding the erosion of labour protections and the constitutional guarantee of dignified work. This paper examines whether the new Labour Codes advance or undermine the right to dignified work, implicit in Article 21 of the Constitution of India and reinforced through judicial interpretation.</w:t>
      </w:r>
    </w:p>
    <w:p w14:paraId="3592E53D" w14:textId="77777777" w:rsidR="00057362" w:rsidRPr="00057362" w:rsidRDefault="00057362" w:rsidP="00057362">
      <w:pPr>
        <w:spacing w:line="360" w:lineRule="auto"/>
        <w:rPr>
          <w:rFonts w:ascii="Times New Roman" w:hAnsi="Times New Roman" w:cs="Times New Roman"/>
        </w:rPr>
      </w:pPr>
      <w:r w:rsidRPr="00057362">
        <w:rPr>
          <w:rFonts w:ascii="Times New Roman" w:hAnsi="Times New Roman" w:cs="Times New Roman"/>
        </w:rPr>
        <w:t>Using a doctrinal and human rights–centred methodology, the study analyses key provisions relating to fixed-term employment, collective bargaining, social security coverage, and regulatory enforcement. It argues that the transition from a welfare-oriented labour regime to a flexible framework has embedded precarity as a structural feature of employment relations rather than an incidental outcome. The paper further demonstrates how these changes disproportionately affect informal, contractual, and platform-based workers, deepening existing inequalities and weakening substantive labour protections.</w:t>
      </w:r>
    </w:p>
    <w:p w14:paraId="2C0E41DE" w14:textId="3A01BD36" w:rsidR="00057362" w:rsidRDefault="00057362" w:rsidP="00057362">
      <w:pPr>
        <w:spacing w:line="360" w:lineRule="auto"/>
        <w:rPr>
          <w:rFonts w:ascii="Times New Roman" w:hAnsi="Times New Roman" w:cs="Times New Roman"/>
        </w:rPr>
      </w:pPr>
      <w:r w:rsidRPr="00057362">
        <w:rPr>
          <w:rFonts w:ascii="Times New Roman" w:hAnsi="Times New Roman" w:cs="Times New Roman"/>
        </w:rPr>
        <w:t>The analysis is informed by International Labour Organization standards and comparative labour jurisprudence, situating India’s reforms within global debates on decent work and economic liberalisation. It contends that increased executive discretion and diluted collective mechanisms undermine worker agency and democratic participation at the workplace. The paper concludes by advocating a rights-based recalibration of labour reforms, emphasising that economic efficiency cannot override constitutional dignity. A labour regime that prioritises flexibility without adequate safeguards risks transforming precarity into a permanent condition, contrary to the constitutional promise of dignified work in India.</w:t>
      </w:r>
    </w:p>
    <w:p w14:paraId="73E50E8F" w14:textId="6A70EF97" w:rsidR="00057362" w:rsidRDefault="00057362" w:rsidP="00057362">
      <w:pPr>
        <w:spacing w:line="360" w:lineRule="auto"/>
        <w:rPr>
          <w:rFonts w:ascii="Times New Roman" w:hAnsi="Times New Roman" w:cs="Times New Roman"/>
        </w:rPr>
      </w:pPr>
      <w:r w:rsidRPr="00057362">
        <w:rPr>
          <w:rFonts w:ascii="Times New Roman" w:hAnsi="Times New Roman" w:cs="Times New Roman"/>
          <w:b/>
          <w:bCs/>
          <w:i/>
          <w:iCs/>
        </w:rPr>
        <w:t>Keywords:</w:t>
      </w:r>
      <w:r w:rsidRPr="00057362">
        <w:rPr>
          <w:rFonts w:ascii="Times New Roman" w:hAnsi="Times New Roman" w:cs="Times New Roman"/>
        </w:rPr>
        <w:t xml:space="preserve"> Labour Codes, Dignified Work, Precarity, Human Rights, Constitutional Labour Law</w:t>
      </w:r>
    </w:p>
    <w:p w14:paraId="68A9AF42" w14:textId="7B512AD4" w:rsidR="00057362" w:rsidRPr="00057362" w:rsidRDefault="00057362" w:rsidP="00057362">
      <w:pPr>
        <w:spacing w:line="360" w:lineRule="auto"/>
        <w:jc w:val="center"/>
        <w:rPr>
          <w:rFonts w:ascii="Times New Roman" w:hAnsi="Times New Roman" w:cs="Times New Roman"/>
          <w:b/>
          <w:bCs/>
        </w:rPr>
      </w:pPr>
      <w:r w:rsidRPr="00057362">
        <w:rPr>
          <w:rFonts w:ascii="Times New Roman" w:hAnsi="Times New Roman" w:cs="Times New Roman"/>
          <w:b/>
          <w:bCs/>
        </w:rPr>
        <w:lastRenderedPageBreak/>
        <w:t>I. Introduction</w:t>
      </w:r>
    </w:p>
    <w:p w14:paraId="38B07B0A" w14:textId="574AC61B" w:rsidR="00130F48" w:rsidRPr="00130F48" w:rsidRDefault="00130F48" w:rsidP="00130F48">
      <w:pPr>
        <w:spacing w:line="360" w:lineRule="auto"/>
        <w:rPr>
          <w:rFonts w:ascii="Times New Roman" w:hAnsi="Times New Roman" w:cs="Times New Roman"/>
        </w:rPr>
      </w:pPr>
      <w:r w:rsidRPr="00130F48">
        <w:rPr>
          <w:rFonts w:ascii="Times New Roman" w:hAnsi="Times New Roman" w:cs="Times New Roman"/>
        </w:rPr>
        <w:t>Work has always been more than just a wage or salary; it has been an identity, a means of survival, a measure of dignity, and a constitutional promise. The Constitution's framers envisioned a country where social, economic, and political justice would become a reality for common people. In this envisioned reality, work would not be a commodity, and workers would not be machines or cogs in a wheel. Instead, they would be individuals with rights and expectations of fair wages, humane work conditions, social security, and a voice.</w:t>
      </w:r>
    </w:p>
    <w:p w14:paraId="2260E1D7" w14:textId="407E7736" w:rsidR="00130F48" w:rsidRPr="00130F48" w:rsidRDefault="00130F48" w:rsidP="00130F48">
      <w:pPr>
        <w:spacing w:line="360" w:lineRule="auto"/>
        <w:rPr>
          <w:rFonts w:ascii="Times New Roman" w:hAnsi="Times New Roman" w:cs="Times New Roman"/>
        </w:rPr>
      </w:pPr>
      <w:r w:rsidRPr="00130F48">
        <w:rPr>
          <w:rFonts w:ascii="Times New Roman" w:hAnsi="Times New Roman" w:cs="Times New Roman"/>
        </w:rPr>
        <w:t>Over time, the Indian tradition of labour laws has evolved by providing a fine balance between growth and welfare. A plethora of laws, such as the Industrial Disputes Act of 1947, the Factories Act of 1948, and the Employees Provident Funds Act of 1952</w:t>
      </w:r>
      <w:r w:rsidR="00596BC9">
        <w:rPr>
          <w:rStyle w:val="FootnoteReference"/>
          <w:rFonts w:ascii="Times New Roman" w:hAnsi="Times New Roman" w:cs="Times New Roman"/>
        </w:rPr>
        <w:footnoteReference w:id="2"/>
      </w:r>
      <w:r w:rsidRPr="00130F48">
        <w:rPr>
          <w:rFonts w:ascii="Times New Roman" w:hAnsi="Times New Roman" w:cs="Times New Roman"/>
        </w:rPr>
        <w:t>, indicate a welfare-oriented approach grounded in social democracy and a desire to create a new nation-state after independence. The Indian judiciary has further extended and protected labour rights, particularly under Article 21 of the Constitution, which has been held to include a right to a dignified work life.</w:t>
      </w:r>
    </w:p>
    <w:p w14:paraId="0958E43C" w14:textId="6681B871" w:rsidR="00130F48" w:rsidRPr="00130F48" w:rsidRDefault="00130F48" w:rsidP="00130F48">
      <w:pPr>
        <w:spacing w:line="360" w:lineRule="auto"/>
        <w:rPr>
          <w:rFonts w:ascii="Times New Roman" w:hAnsi="Times New Roman" w:cs="Times New Roman"/>
        </w:rPr>
      </w:pPr>
      <w:r w:rsidRPr="00130F48">
        <w:rPr>
          <w:rFonts w:ascii="Times New Roman" w:hAnsi="Times New Roman" w:cs="Times New Roman"/>
        </w:rPr>
        <w:t>However, by the early 2000s, it was argued that Indian labour laws were complex, cumbersome, and out of sync with a globalising economy. This led to a radical overhaul and consolidation of 29 Central Labour Laws into four broad Labour Codes: The Code on Wages, 2019, The Industrial Relations Code, 2020, The Code on Social Security, 2020, and The Occupational Safety, Health and Working Conditions Code, 2020. This paper proposes that while these Labour Codes are presented as a solution to ease doing business and create more jobs, they also indicate a subtle but dangerous trend towards undermining workers' rights and a constitutional promise of a dignified work life.</w:t>
      </w:r>
    </w:p>
    <w:p w14:paraId="017F8442" w14:textId="77777777" w:rsidR="008B4D28" w:rsidRDefault="00130F48" w:rsidP="00130F48">
      <w:pPr>
        <w:spacing w:line="360" w:lineRule="auto"/>
        <w:rPr>
          <w:rFonts w:ascii="Times New Roman" w:hAnsi="Times New Roman" w:cs="Times New Roman"/>
        </w:rPr>
      </w:pPr>
      <w:r w:rsidRPr="00130F48">
        <w:rPr>
          <w:rFonts w:ascii="Times New Roman" w:hAnsi="Times New Roman" w:cs="Times New Roman"/>
        </w:rPr>
        <w:t>This paper proposes that these Labour Codes, while providing ease of doing business, also normalise precarious work, undermine collective bargaining, and increase executive powers at the expense of workers' rights.</w:t>
      </w:r>
      <w:r w:rsidR="008B4D28">
        <w:rPr>
          <w:rFonts w:ascii="Times New Roman" w:hAnsi="Times New Roman" w:cs="Times New Roman"/>
        </w:rPr>
        <w:t xml:space="preserve"> </w:t>
      </w:r>
    </w:p>
    <w:p w14:paraId="62F8C75F" w14:textId="77777777" w:rsidR="00AB6F21" w:rsidRPr="00AB6F21" w:rsidRDefault="00AB6F21" w:rsidP="00AB6F21">
      <w:pPr>
        <w:spacing w:line="360" w:lineRule="auto"/>
        <w:rPr>
          <w:rFonts w:ascii="Times New Roman" w:hAnsi="Times New Roman" w:cs="Times New Roman"/>
        </w:rPr>
      </w:pPr>
      <w:r w:rsidRPr="00AB6F21">
        <w:rPr>
          <w:rFonts w:ascii="Times New Roman" w:hAnsi="Times New Roman" w:cs="Times New Roman"/>
        </w:rPr>
        <w:t xml:space="preserve">The right to dignified work, which is derived from Article 21 and reinforced by Articles 14, 19, 23, 39, 41, 42, and 43, cannot be sacrificed on the altar of economic efficiency. Where </w:t>
      </w:r>
      <w:proofErr w:type="spellStart"/>
      <w:r w:rsidRPr="00AB6F21">
        <w:rPr>
          <w:rFonts w:ascii="Times New Roman" w:hAnsi="Times New Roman" w:cs="Times New Roman"/>
        </w:rPr>
        <w:t>labor</w:t>
      </w:r>
      <w:proofErr w:type="spellEnd"/>
      <w:r w:rsidRPr="00AB6F21">
        <w:rPr>
          <w:rFonts w:ascii="Times New Roman" w:hAnsi="Times New Roman" w:cs="Times New Roman"/>
        </w:rPr>
        <w:t xml:space="preserve"> regulations are framed on the premise of flexibility as the guiding principle, without </w:t>
      </w:r>
      <w:r w:rsidRPr="00AB6F21">
        <w:rPr>
          <w:rFonts w:ascii="Times New Roman" w:hAnsi="Times New Roman" w:cs="Times New Roman"/>
        </w:rPr>
        <w:lastRenderedPageBreak/>
        <w:t>sufficient safeguards, the absence of job security ceases to be temporary and becomes a permanent feature of the system.</w:t>
      </w:r>
    </w:p>
    <w:p w14:paraId="7D05702F" w14:textId="77777777" w:rsidR="00AB6F21" w:rsidRPr="00AB6F21" w:rsidRDefault="00AB6F21" w:rsidP="00AB6F21">
      <w:pPr>
        <w:spacing w:line="360" w:lineRule="auto"/>
        <w:rPr>
          <w:rFonts w:ascii="Times New Roman" w:hAnsi="Times New Roman" w:cs="Times New Roman"/>
        </w:rPr>
      </w:pPr>
    </w:p>
    <w:p w14:paraId="57D21874" w14:textId="7CCDC0DF" w:rsidR="00AB6F21" w:rsidRDefault="00AB6F21" w:rsidP="00AB6F21">
      <w:pPr>
        <w:spacing w:line="360" w:lineRule="auto"/>
        <w:rPr>
          <w:rFonts w:ascii="Times New Roman" w:hAnsi="Times New Roman" w:cs="Times New Roman"/>
        </w:rPr>
      </w:pPr>
      <w:r w:rsidRPr="00AB6F21">
        <w:rPr>
          <w:rFonts w:ascii="Times New Roman" w:hAnsi="Times New Roman" w:cs="Times New Roman"/>
        </w:rPr>
        <w:t>In this paper, which adopts a doctrinal approach and a human rights perspective, the Labour Codes will be critically assessed in the context of constitutional court decisions, ILO conventions, and worldwide debates on “decent work.” It is not about negating the reform; it is about reforming while staying grounded on dignity.</w:t>
      </w:r>
    </w:p>
    <w:p w14:paraId="004B4F52" w14:textId="77777777" w:rsidR="00AB6F21" w:rsidRPr="00057362" w:rsidRDefault="00AB6F21" w:rsidP="00AB6F21">
      <w:pPr>
        <w:spacing w:line="360" w:lineRule="auto"/>
        <w:rPr>
          <w:rFonts w:ascii="Times New Roman" w:hAnsi="Times New Roman" w:cs="Times New Roman"/>
        </w:rPr>
      </w:pPr>
    </w:p>
    <w:p w14:paraId="6F11939E" w14:textId="77777777" w:rsidR="00057362" w:rsidRPr="00057362" w:rsidRDefault="00057362" w:rsidP="00057362">
      <w:pPr>
        <w:spacing w:line="360" w:lineRule="auto"/>
        <w:jc w:val="center"/>
        <w:rPr>
          <w:rFonts w:ascii="Times New Roman" w:hAnsi="Times New Roman" w:cs="Times New Roman"/>
          <w:b/>
          <w:bCs/>
        </w:rPr>
      </w:pPr>
      <w:r w:rsidRPr="00057362">
        <w:rPr>
          <w:rFonts w:ascii="Times New Roman" w:hAnsi="Times New Roman" w:cs="Times New Roman"/>
          <w:b/>
          <w:bCs/>
        </w:rPr>
        <w:t>II. Constitutional Foundations of Dignified Work</w:t>
      </w:r>
    </w:p>
    <w:p w14:paraId="797FED00" w14:textId="28766CAD" w:rsidR="00D54864" w:rsidRPr="00D54864" w:rsidRDefault="00D54864" w:rsidP="00D54864">
      <w:pPr>
        <w:spacing w:line="360" w:lineRule="auto"/>
        <w:rPr>
          <w:rFonts w:ascii="Times New Roman" w:hAnsi="Times New Roman" w:cs="Times New Roman"/>
        </w:rPr>
      </w:pPr>
      <w:r w:rsidRPr="00D54864">
        <w:rPr>
          <w:rFonts w:ascii="Times New Roman" w:hAnsi="Times New Roman" w:cs="Times New Roman"/>
        </w:rPr>
        <w:t>While there is no “right to work” granted by the Constitution of India under Part III of the Constitution, which deals with the Fundamental Rights, the Supreme Court has interpreted the right to life and liberty guaranteed by Article 21 of the Constitution of India widely enough to include the right to livelihood and live with dignity. For example, while deciding Olga Tellis v. Bombay Municipal Corporation (1985) 3 SCC 545</w:t>
      </w:r>
      <w:r w:rsidR="00433DCC">
        <w:rPr>
          <w:rStyle w:val="FootnoteReference"/>
          <w:rFonts w:ascii="Times New Roman" w:hAnsi="Times New Roman" w:cs="Times New Roman"/>
        </w:rPr>
        <w:footnoteReference w:id="3"/>
      </w:r>
      <w:r w:rsidRPr="00D54864">
        <w:rPr>
          <w:rFonts w:ascii="Times New Roman" w:hAnsi="Times New Roman" w:cs="Times New Roman"/>
        </w:rPr>
        <w:t xml:space="preserve">, the Court held that “the right to life includes the right to livelihood because no person can live without the means of living… What alone makes it possible to live, apart from what makes life </w:t>
      </w:r>
      <w:proofErr w:type="spellStart"/>
      <w:r w:rsidRPr="00D54864">
        <w:rPr>
          <w:rFonts w:ascii="Times New Roman" w:hAnsi="Times New Roman" w:cs="Times New Roman"/>
        </w:rPr>
        <w:t>livable</w:t>
      </w:r>
      <w:proofErr w:type="spellEnd"/>
      <w:r w:rsidRPr="00D54864">
        <w:rPr>
          <w:rFonts w:ascii="Times New Roman" w:hAnsi="Times New Roman" w:cs="Times New Roman"/>
        </w:rPr>
        <w:t xml:space="preserve">, must be considered an integral part of the right to life.” The Court, while deciding </w:t>
      </w:r>
      <w:proofErr w:type="spellStart"/>
      <w:r w:rsidRPr="00D54864">
        <w:rPr>
          <w:rFonts w:ascii="Times New Roman" w:hAnsi="Times New Roman" w:cs="Times New Roman"/>
        </w:rPr>
        <w:t>Bandhua</w:t>
      </w:r>
      <w:proofErr w:type="spellEnd"/>
      <w:r w:rsidRPr="00D54864">
        <w:rPr>
          <w:rFonts w:ascii="Times New Roman" w:hAnsi="Times New Roman" w:cs="Times New Roman"/>
        </w:rPr>
        <w:t xml:space="preserve"> Mukti Morcha v. Union of India (1984) 3 SCC 161</w:t>
      </w:r>
      <w:r w:rsidR="002553BC">
        <w:rPr>
          <w:rStyle w:val="FootnoteReference"/>
          <w:rFonts w:ascii="Times New Roman" w:hAnsi="Times New Roman" w:cs="Times New Roman"/>
        </w:rPr>
        <w:footnoteReference w:id="4"/>
      </w:r>
      <w:r w:rsidRPr="00D54864">
        <w:rPr>
          <w:rFonts w:ascii="Times New Roman" w:hAnsi="Times New Roman" w:cs="Times New Roman"/>
        </w:rPr>
        <w:t>, reaffirmed that the right of the citizens of India to live with human dignity as guaranteed by Article 21 of the Constitution of India includes “just and humane conditions of work ensuring a decent standard of life with basic human dignity.”</w:t>
      </w:r>
    </w:p>
    <w:p w14:paraId="637EB962" w14:textId="263FE230" w:rsidR="00D54864" w:rsidRDefault="00D54864" w:rsidP="00D54864">
      <w:pPr>
        <w:spacing w:line="360" w:lineRule="auto"/>
        <w:rPr>
          <w:rFonts w:ascii="Times New Roman" w:hAnsi="Times New Roman" w:cs="Times New Roman"/>
        </w:rPr>
      </w:pPr>
      <w:r w:rsidRPr="00D54864">
        <w:rPr>
          <w:rFonts w:ascii="Times New Roman" w:hAnsi="Times New Roman" w:cs="Times New Roman"/>
        </w:rPr>
        <w:t xml:space="preserve">These decisions of the Supreme Court of India can be supported by the provisions of Part IV of the Constitution of India, which deals with the “Directive Principles of State Policy.” For example, while dealing with the right of citizens of India to an adequate means of livelihood guaranteed by Article 39 of the Constitution of India, the State is directed to ensure that citizens of India, both male and female, have the right to an adequate means of livelihood. Similarly, while dealing with the right to work, education, and public assistance in times of unemployment, etc., guaranteed by Article 41 of the Constitution of India, the State is </w:t>
      </w:r>
      <w:r w:rsidRPr="00D54864">
        <w:rPr>
          <w:rFonts w:ascii="Times New Roman" w:hAnsi="Times New Roman" w:cs="Times New Roman"/>
        </w:rPr>
        <w:lastRenderedPageBreak/>
        <w:t>directed to provide for public assistance in the event of unemployment, etc., while Article 42 of the Constitution of India requires the State to provide for “just and humane conditions of work” coupled with “a living wage” and “a decent standard of life.”</w:t>
      </w:r>
    </w:p>
    <w:p w14:paraId="37972DE9" w14:textId="77777777" w:rsidR="00BC2ABA" w:rsidRDefault="00BC2ABA" w:rsidP="00D54864">
      <w:pPr>
        <w:spacing w:line="360" w:lineRule="auto"/>
        <w:rPr>
          <w:rFonts w:ascii="Times New Roman" w:hAnsi="Times New Roman" w:cs="Times New Roman"/>
        </w:rPr>
      </w:pPr>
    </w:p>
    <w:p w14:paraId="190A53F4" w14:textId="325B2283" w:rsidR="00057362" w:rsidRPr="00057362" w:rsidRDefault="00057362" w:rsidP="00C96D0F">
      <w:pPr>
        <w:spacing w:line="360" w:lineRule="auto"/>
        <w:jc w:val="center"/>
        <w:rPr>
          <w:rFonts w:ascii="Times New Roman" w:hAnsi="Times New Roman" w:cs="Times New Roman"/>
        </w:rPr>
      </w:pPr>
      <w:r w:rsidRPr="00057362">
        <w:rPr>
          <w:rFonts w:ascii="Times New Roman" w:hAnsi="Times New Roman" w:cs="Times New Roman"/>
          <w:b/>
          <w:bCs/>
        </w:rPr>
        <w:t>III. The Shift from Welfare to Flexibility</w:t>
      </w:r>
    </w:p>
    <w:p w14:paraId="1C343F1E" w14:textId="030F3140" w:rsidR="003010DB" w:rsidRPr="003010DB" w:rsidRDefault="003010DB" w:rsidP="003010DB">
      <w:pPr>
        <w:spacing w:line="360" w:lineRule="auto"/>
        <w:rPr>
          <w:rFonts w:ascii="Times New Roman" w:hAnsi="Times New Roman" w:cs="Times New Roman"/>
        </w:rPr>
      </w:pPr>
      <w:r w:rsidRPr="003010DB">
        <w:rPr>
          <w:rFonts w:ascii="Times New Roman" w:hAnsi="Times New Roman" w:cs="Times New Roman"/>
        </w:rPr>
        <w:t xml:space="preserve">The old model of </w:t>
      </w:r>
      <w:r w:rsidRPr="003010DB">
        <w:rPr>
          <w:rFonts w:ascii="Times New Roman" w:hAnsi="Times New Roman" w:cs="Times New Roman"/>
        </w:rPr>
        <w:t>labour</w:t>
      </w:r>
      <w:r w:rsidRPr="003010DB">
        <w:rPr>
          <w:rFonts w:ascii="Times New Roman" w:hAnsi="Times New Roman" w:cs="Times New Roman"/>
        </w:rPr>
        <w:t xml:space="preserve"> regulation, which relied on rules such as the Industrial Disputes Act of 1947, placed a high value on job security, including strict retrenchment safeguards, robust collective bargaining rights, and robust state regulation. But it could also be a rigid model that scared off investment and slowed down formal employment growth. Now, with the four Labour Codes</w:t>
      </w:r>
      <w:r>
        <w:rPr>
          <w:rFonts w:ascii="Times New Roman" w:hAnsi="Times New Roman" w:cs="Times New Roman"/>
        </w:rPr>
        <w:t xml:space="preserve"> </w:t>
      </w:r>
      <w:r w:rsidRPr="003010DB">
        <w:rPr>
          <w:rFonts w:ascii="Times New Roman" w:hAnsi="Times New Roman" w:cs="Times New Roman"/>
        </w:rPr>
        <w:t>Code on Wages 2019, Industrial Relations Code 2020, Code on Social Security 2020, and Occupational Safety, Health and Working Conditions Code 2020</w:t>
      </w:r>
      <w:r>
        <w:rPr>
          <w:rFonts w:ascii="Times New Roman" w:hAnsi="Times New Roman" w:cs="Times New Roman"/>
        </w:rPr>
        <w:t xml:space="preserve"> </w:t>
      </w:r>
      <w:r w:rsidRPr="003010DB">
        <w:rPr>
          <w:rFonts w:ascii="Times New Roman" w:hAnsi="Times New Roman" w:cs="Times New Roman"/>
        </w:rPr>
        <w:t xml:space="preserve">in place by November 2025, there is a conscious effort to create a more employer-friendly flexible model. What are these changes? The government green light for layoffs/retrenchment will be increased from 100 to 300 workers. There will be a normalizing of fixed-term contracts and equal benefits. Inspectors will become facilitators, and minor offenses will be decriminalized. This is a global trend towards a more flexible model of </w:t>
      </w:r>
      <w:r w:rsidRPr="003010DB">
        <w:rPr>
          <w:rFonts w:ascii="Times New Roman" w:hAnsi="Times New Roman" w:cs="Times New Roman"/>
        </w:rPr>
        <w:t>labour</w:t>
      </w:r>
      <w:r w:rsidRPr="003010DB">
        <w:rPr>
          <w:rFonts w:ascii="Times New Roman" w:hAnsi="Times New Roman" w:cs="Times New Roman"/>
        </w:rPr>
        <w:t xml:space="preserve"> regulation to increase competitiveness by making it easier to hire and fire.</w:t>
      </w:r>
    </w:p>
    <w:p w14:paraId="3AF20023" w14:textId="247D9479" w:rsidR="003010DB" w:rsidRPr="003010DB" w:rsidRDefault="003010DB" w:rsidP="003010DB">
      <w:pPr>
        <w:spacing w:line="360" w:lineRule="auto"/>
        <w:rPr>
          <w:rFonts w:ascii="Times New Roman" w:hAnsi="Times New Roman" w:cs="Times New Roman"/>
        </w:rPr>
      </w:pPr>
      <w:r w:rsidRPr="003010DB">
        <w:rPr>
          <w:rFonts w:ascii="Times New Roman" w:hAnsi="Times New Roman" w:cs="Times New Roman"/>
        </w:rPr>
        <w:t>However, it must be noted that this is still a context of high informality, with 87% of workers still outside the formal economy, according to the PLFS 2023-24 data</w:t>
      </w:r>
      <w:r w:rsidR="008B454F">
        <w:rPr>
          <w:rStyle w:val="FootnoteReference"/>
          <w:rFonts w:ascii="Times New Roman" w:hAnsi="Times New Roman" w:cs="Times New Roman"/>
        </w:rPr>
        <w:footnoteReference w:id="5"/>
      </w:r>
      <w:r w:rsidRPr="003010DB">
        <w:rPr>
          <w:rFonts w:ascii="Times New Roman" w:hAnsi="Times New Roman" w:cs="Times New Roman"/>
        </w:rPr>
        <w:t xml:space="preserve">. This could exacerbate exploitation for </w:t>
      </w:r>
      <w:r w:rsidRPr="003010DB">
        <w:rPr>
          <w:rFonts w:ascii="Times New Roman" w:hAnsi="Times New Roman" w:cs="Times New Roman"/>
        </w:rPr>
        <w:t>many</w:t>
      </w:r>
      <w:r w:rsidRPr="003010DB">
        <w:rPr>
          <w:rFonts w:ascii="Times New Roman" w:hAnsi="Times New Roman" w:cs="Times New Roman"/>
        </w:rPr>
        <w:t xml:space="preserve"> workers outside of these regulations. While there are provisions for social security to cover gig workers and platform workers and appointment letters and a ban on certain exploitative practices, there are still concerns that a more flexible model of job security, such as easier non-renewal of fixed-term contracts and strike restrictions, and a more state-led model of regulation could undermine existing safeguards unless there are robust safeguards against precarity.</w:t>
      </w:r>
    </w:p>
    <w:p w14:paraId="1DD7CF0A" w14:textId="29E5374A" w:rsidR="00EE4D0A" w:rsidRDefault="003010DB" w:rsidP="003010DB">
      <w:pPr>
        <w:spacing w:line="360" w:lineRule="auto"/>
        <w:rPr>
          <w:rFonts w:ascii="Times New Roman" w:hAnsi="Times New Roman" w:cs="Times New Roman"/>
        </w:rPr>
      </w:pPr>
      <w:r w:rsidRPr="003010DB">
        <w:rPr>
          <w:rFonts w:ascii="Times New Roman" w:hAnsi="Times New Roman" w:cs="Times New Roman"/>
        </w:rPr>
        <w:t xml:space="preserve">Overall, it is a framework that indicates a re-prioritization of worker protection, but now in a more moderated form and more balanced with a push to spur investment and growth. But how successful it will be </w:t>
      </w:r>
      <w:r w:rsidRPr="003010DB">
        <w:rPr>
          <w:rFonts w:ascii="Times New Roman" w:hAnsi="Times New Roman" w:cs="Times New Roman"/>
        </w:rPr>
        <w:t>depended</w:t>
      </w:r>
      <w:r w:rsidRPr="003010DB">
        <w:rPr>
          <w:rFonts w:ascii="Times New Roman" w:hAnsi="Times New Roman" w:cs="Times New Roman"/>
        </w:rPr>
        <w:t xml:space="preserve"> on how it can protect workers and how it can ensure that </w:t>
      </w:r>
      <w:r w:rsidRPr="003010DB">
        <w:rPr>
          <w:rFonts w:ascii="Times New Roman" w:hAnsi="Times New Roman" w:cs="Times New Roman"/>
        </w:rPr>
        <w:lastRenderedPageBreak/>
        <w:t>workers outside of these regulations are protected and that there is a race to the top and not a race to the bottom.</w:t>
      </w:r>
    </w:p>
    <w:p w14:paraId="1084C1D2" w14:textId="77777777" w:rsidR="0019303A" w:rsidRPr="00057362" w:rsidRDefault="0019303A" w:rsidP="003010DB">
      <w:pPr>
        <w:spacing w:line="360" w:lineRule="auto"/>
        <w:rPr>
          <w:rFonts w:ascii="Times New Roman" w:hAnsi="Times New Roman" w:cs="Times New Roman"/>
        </w:rPr>
      </w:pPr>
    </w:p>
    <w:p w14:paraId="0212C720" w14:textId="77777777" w:rsidR="00057362" w:rsidRPr="00057362" w:rsidRDefault="00057362" w:rsidP="00057362">
      <w:pPr>
        <w:spacing w:line="360" w:lineRule="auto"/>
        <w:jc w:val="center"/>
        <w:rPr>
          <w:rFonts w:ascii="Times New Roman" w:hAnsi="Times New Roman" w:cs="Times New Roman"/>
          <w:b/>
          <w:bCs/>
        </w:rPr>
      </w:pPr>
      <w:r w:rsidRPr="00057362">
        <w:rPr>
          <w:rFonts w:ascii="Times New Roman" w:hAnsi="Times New Roman" w:cs="Times New Roman"/>
          <w:b/>
          <w:bCs/>
        </w:rPr>
        <w:t>IV. Fixed-Term Employment and Precarity</w:t>
      </w:r>
    </w:p>
    <w:p w14:paraId="14504D2F" w14:textId="6DAB9400" w:rsidR="005A105F" w:rsidRPr="005A105F" w:rsidRDefault="005A105F" w:rsidP="005A105F">
      <w:pPr>
        <w:spacing w:line="360" w:lineRule="auto"/>
        <w:rPr>
          <w:rFonts w:ascii="Times New Roman" w:hAnsi="Times New Roman" w:cs="Times New Roman"/>
        </w:rPr>
      </w:pPr>
      <w:r w:rsidRPr="005A105F">
        <w:rPr>
          <w:rFonts w:ascii="Times New Roman" w:hAnsi="Times New Roman" w:cs="Times New Roman"/>
        </w:rPr>
        <w:t>From a constitutional perspective, it has been seen that India’s highest court has continued to expand the scope of Article 21</w:t>
      </w:r>
      <w:r w:rsidR="003010DB">
        <w:rPr>
          <w:rFonts w:ascii="Times New Roman" w:hAnsi="Times New Roman" w:cs="Times New Roman"/>
        </w:rPr>
        <w:t xml:space="preserve"> </w:t>
      </w:r>
      <w:r w:rsidRPr="005A105F">
        <w:rPr>
          <w:rFonts w:ascii="Times New Roman" w:hAnsi="Times New Roman" w:cs="Times New Roman"/>
        </w:rPr>
        <w:t xml:space="preserve">the right to </w:t>
      </w:r>
      <w:r w:rsidRPr="005A105F">
        <w:rPr>
          <w:rFonts w:ascii="Times New Roman" w:hAnsi="Times New Roman" w:cs="Times New Roman"/>
        </w:rPr>
        <w:t>lifeway</w:t>
      </w:r>
      <w:r w:rsidRPr="005A105F">
        <w:rPr>
          <w:rFonts w:ascii="Times New Roman" w:hAnsi="Times New Roman" w:cs="Times New Roman"/>
        </w:rPr>
        <w:t xml:space="preserve"> beyond mere existence or survival. It has come to incorporate the right to live with dignity and, most importantly, the right to one’s livelihoods. Thus, if one’s livelihood or one’s job is taken away or if one feels that one does not have a job to look forward to, then it </w:t>
      </w:r>
      <w:r w:rsidR="00F809D1" w:rsidRPr="005A105F">
        <w:rPr>
          <w:rFonts w:ascii="Times New Roman" w:hAnsi="Times New Roman" w:cs="Times New Roman"/>
        </w:rPr>
        <w:t>must</w:t>
      </w:r>
      <w:r w:rsidRPr="005A105F">
        <w:rPr>
          <w:rFonts w:ascii="Times New Roman" w:hAnsi="Times New Roman" w:cs="Times New Roman"/>
        </w:rPr>
        <w:t xml:space="preserve"> be deemed “just,” “fair,” “reasonable,” and “non-arbitrary.” In Olga Tellis v. Bombay Municipal Corporation, it was held that “livelihood” was inextricably linked to “life” under Article 21 itself. </w:t>
      </w:r>
    </w:p>
    <w:p w14:paraId="67ADC70F" w14:textId="052F86DD" w:rsidR="005A105F" w:rsidRPr="005A105F" w:rsidRDefault="005A105F" w:rsidP="005A105F">
      <w:pPr>
        <w:spacing w:line="360" w:lineRule="auto"/>
        <w:rPr>
          <w:rFonts w:ascii="Times New Roman" w:hAnsi="Times New Roman" w:cs="Times New Roman"/>
        </w:rPr>
      </w:pPr>
      <w:r w:rsidRPr="005A105F">
        <w:rPr>
          <w:rFonts w:ascii="Times New Roman" w:hAnsi="Times New Roman" w:cs="Times New Roman"/>
        </w:rPr>
        <w:t xml:space="preserve">One of the important judgments in this regard was in the case of Dharam Singh v. State of Uttar Pradesh. The court held that “perennial work deserves perennial posts.” In other words, it was held that essential and perennial work cannot be given to temporary or daily-wage workers forever. The court quashed all government decisions to avoid giving regular jobs to persons doing perennial duties and ordered regularization to be </w:t>
      </w:r>
      <w:r w:rsidR="00F809D1" w:rsidRPr="005A105F">
        <w:rPr>
          <w:rFonts w:ascii="Times New Roman" w:hAnsi="Times New Roman" w:cs="Times New Roman"/>
        </w:rPr>
        <w:t>affected</w:t>
      </w:r>
      <w:r w:rsidRPr="005A105F">
        <w:rPr>
          <w:rFonts w:ascii="Times New Roman" w:hAnsi="Times New Roman" w:cs="Times New Roman"/>
        </w:rPr>
        <w:t xml:space="preserve"> at the earliest. It was also held that any continued reliance on giving daily-wage jobs to persons doing perennial duties would be in violation of Articles 14 and 16 and would also violate the right to livelihood under Article 21. </w:t>
      </w:r>
    </w:p>
    <w:p w14:paraId="10BA7321" w14:textId="03B4D84A" w:rsidR="005A105F" w:rsidRPr="005A105F" w:rsidRDefault="005A105F" w:rsidP="005A105F">
      <w:pPr>
        <w:spacing w:line="360" w:lineRule="auto"/>
        <w:rPr>
          <w:rFonts w:ascii="Times New Roman" w:hAnsi="Times New Roman" w:cs="Times New Roman"/>
        </w:rPr>
      </w:pPr>
      <w:r w:rsidRPr="005A105F">
        <w:rPr>
          <w:rFonts w:ascii="Times New Roman" w:hAnsi="Times New Roman" w:cs="Times New Roman"/>
        </w:rPr>
        <w:t xml:space="preserve">While it was held in this case </w:t>
      </w:r>
      <w:r w:rsidRPr="005A105F">
        <w:rPr>
          <w:rFonts w:ascii="Times New Roman" w:hAnsi="Times New Roman" w:cs="Times New Roman"/>
        </w:rPr>
        <w:t>about</w:t>
      </w:r>
      <w:r w:rsidRPr="005A105F">
        <w:rPr>
          <w:rFonts w:ascii="Times New Roman" w:hAnsi="Times New Roman" w:cs="Times New Roman"/>
        </w:rPr>
        <w:t xml:space="preserve"> public sector jobs, it can be extended to other areas beyond public sector jobs. As it currently stands under the IRC 2020, fixed-term contract employees can be given renewed contracts repeatedly, and failure to renew would not be deemed to be any form of “retrenchment” (Industrial Relations Code, 2020</w:t>
      </w:r>
      <w:r w:rsidR="00E74535">
        <w:rPr>
          <w:rFonts w:ascii="Times New Roman" w:hAnsi="Times New Roman" w:cs="Times New Roman"/>
        </w:rPr>
        <w:t xml:space="preserve"> </w:t>
      </w:r>
      <w:r w:rsidRPr="005A105F">
        <w:rPr>
          <w:rFonts w:ascii="Times New Roman" w:hAnsi="Times New Roman" w:cs="Times New Roman"/>
        </w:rPr>
        <w:t>Section 2(o), Section 2(</w:t>
      </w:r>
      <w:proofErr w:type="spellStart"/>
      <w:r w:rsidRPr="005A105F">
        <w:rPr>
          <w:rFonts w:ascii="Times New Roman" w:hAnsi="Times New Roman" w:cs="Times New Roman"/>
        </w:rPr>
        <w:t>zh</w:t>
      </w:r>
      <w:proofErr w:type="spellEnd"/>
      <w:r w:rsidRPr="005A105F">
        <w:rPr>
          <w:rFonts w:ascii="Times New Roman" w:hAnsi="Times New Roman" w:cs="Times New Roman"/>
        </w:rPr>
        <w:t>)), thereby making it easy for employers to terminate fixed-term contract workers without any of the protections available to permanent employees</w:t>
      </w:r>
      <w:r w:rsidR="00E74535">
        <w:rPr>
          <w:rStyle w:val="FootnoteReference"/>
          <w:rFonts w:ascii="Times New Roman" w:hAnsi="Times New Roman" w:cs="Times New Roman"/>
        </w:rPr>
        <w:footnoteReference w:id="6"/>
      </w:r>
      <w:r w:rsidRPr="005A105F">
        <w:rPr>
          <w:rFonts w:ascii="Times New Roman" w:hAnsi="Times New Roman" w:cs="Times New Roman"/>
        </w:rPr>
        <w:t>.</w:t>
      </w:r>
    </w:p>
    <w:p w14:paraId="59C5E69A" w14:textId="3726D467" w:rsidR="00771DE0" w:rsidRDefault="005A105F" w:rsidP="005A105F">
      <w:pPr>
        <w:spacing w:line="360" w:lineRule="auto"/>
        <w:rPr>
          <w:rFonts w:ascii="Times New Roman" w:hAnsi="Times New Roman" w:cs="Times New Roman"/>
        </w:rPr>
      </w:pPr>
      <w:r w:rsidRPr="005A105F">
        <w:rPr>
          <w:rFonts w:ascii="Times New Roman" w:hAnsi="Times New Roman" w:cs="Times New Roman"/>
        </w:rPr>
        <w:t xml:space="preserve">Even though the pay and benefit packages have been made equal for permanent and fixed-term workers under the law, this does not completely address the issue of insecurity caused by the potential for immediate non-renewal of contracts without prior notice and pay. This could lead to a permanent temporariness in the workplace, </w:t>
      </w:r>
      <w:r w:rsidR="00F809D1" w:rsidRPr="005A105F">
        <w:rPr>
          <w:rFonts w:ascii="Times New Roman" w:hAnsi="Times New Roman" w:cs="Times New Roman"/>
        </w:rPr>
        <w:t>were</w:t>
      </w:r>
      <w:r w:rsidRPr="005A105F">
        <w:rPr>
          <w:rFonts w:ascii="Times New Roman" w:hAnsi="Times New Roman" w:cs="Times New Roman"/>
        </w:rPr>
        <w:t xml:space="preserve"> workers, though on the company rolls, will be placed in a permanent state of insecurity. This could then be subject to </w:t>
      </w:r>
      <w:r w:rsidRPr="005A105F">
        <w:rPr>
          <w:rFonts w:ascii="Times New Roman" w:hAnsi="Times New Roman" w:cs="Times New Roman"/>
        </w:rPr>
        <w:lastRenderedPageBreak/>
        <w:t xml:space="preserve">constitutional scrutiny under Articles 14 and 21, especially </w:t>
      </w:r>
      <w:r w:rsidR="00F809D1" w:rsidRPr="005A105F">
        <w:rPr>
          <w:rFonts w:ascii="Times New Roman" w:hAnsi="Times New Roman" w:cs="Times New Roman"/>
        </w:rPr>
        <w:t>considering</w:t>
      </w:r>
      <w:r w:rsidRPr="005A105F">
        <w:rPr>
          <w:rFonts w:ascii="Times New Roman" w:hAnsi="Times New Roman" w:cs="Times New Roman"/>
        </w:rPr>
        <w:t xml:space="preserve"> the Directive Principles of State Policy, which emphasize Articles 39 and 43 on the need for work to be dignified and secure. </w:t>
      </w:r>
    </w:p>
    <w:p w14:paraId="02DA6E16" w14:textId="77777777" w:rsidR="006C1B12" w:rsidRPr="005A105F" w:rsidRDefault="006C1B12" w:rsidP="005A105F">
      <w:pPr>
        <w:spacing w:line="360" w:lineRule="auto"/>
        <w:rPr>
          <w:rFonts w:ascii="Times New Roman" w:hAnsi="Times New Roman" w:cs="Times New Roman"/>
        </w:rPr>
      </w:pPr>
    </w:p>
    <w:p w14:paraId="20330885" w14:textId="77777777" w:rsidR="00057362" w:rsidRPr="00057362" w:rsidRDefault="00057362" w:rsidP="00057362">
      <w:pPr>
        <w:spacing w:line="360" w:lineRule="auto"/>
        <w:jc w:val="center"/>
        <w:rPr>
          <w:rFonts w:ascii="Times New Roman" w:hAnsi="Times New Roman" w:cs="Times New Roman"/>
          <w:b/>
          <w:bCs/>
        </w:rPr>
      </w:pPr>
      <w:r w:rsidRPr="00057362">
        <w:rPr>
          <w:rFonts w:ascii="Times New Roman" w:hAnsi="Times New Roman" w:cs="Times New Roman"/>
          <w:b/>
          <w:bCs/>
        </w:rPr>
        <w:t>V. Collective Bargaining and Democratic Voice</w:t>
      </w:r>
    </w:p>
    <w:p w14:paraId="07AFDC93" w14:textId="3D23BC2D" w:rsidR="00CD7757" w:rsidRPr="00CD7757" w:rsidRDefault="00CD7757" w:rsidP="00CD7757">
      <w:pPr>
        <w:spacing w:line="360" w:lineRule="auto"/>
        <w:rPr>
          <w:rFonts w:ascii="Times New Roman" w:hAnsi="Times New Roman" w:cs="Times New Roman"/>
        </w:rPr>
      </w:pPr>
      <w:r w:rsidRPr="00CD7757">
        <w:rPr>
          <w:rFonts w:ascii="Times New Roman" w:hAnsi="Times New Roman" w:cs="Times New Roman"/>
        </w:rPr>
        <w:t>The Industrial Relations Code, 2020, increases the threshold for prior government approval for lay-offs, retrenchments, and closures from 100 workers to 300 workers for non-seasonal plants with an average of 300 or more workers over the last year. It has also made it clearer how a negotiating union or council can be recognized. This requires a single union to have a majority, i.e., 51% or more workers, or a council with representatives of unions having at least 20% support.</w:t>
      </w:r>
    </w:p>
    <w:p w14:paraId="22A8433D" w14:textId="6020CD72" w:rsidR="00CD7757" w:rsidRPr="00CD7757" w:rsidRDefault="00CD7757" w:rsidP="00CD7757">
      <w:pPr>
        <w:spacing w:line="360" w:lineRule="auto"/>
        <w:rPr>
          <w:rFonts w:ascii="Times New Roman" w:hAnsi="Times New Roman" w:cs="Times New Roman"/>
        </w:rPr>
      </w:pPr>
      <w:r w:rsidRPr="00CD7757">
        <w:rPr>
          <w:rFonts w:ascii="Times New Roman" w:hAnsi="Times New Roman" w:cs="Times New Roman"/>
        </w:rPr>
        <w:t>However, collective bargaining is not just a legalistic process; it is a democratic process at work. It provides workers with a voice. The Supreme Court has emphasized the need for workers to have freedom of association under Article 19(1)(c) of the Constitution, providing for the right to form a union as a means of expressing a collective voice and protecting workers from arbitrary actions by their employer.</w:t>
      </w:r>
    </w:p>
    <w:p w14:paraId="4AE83FC1" w14:textId="2C28377B" w:rsidR="00057362" w:rsidRDefault="00CD7757" w:rsidP="00CD7757">
      <w:pPr>
        <w:spacing w:line="360" w:lineRule="auto"/>
        <w:rPr>
          <w:rFonts w:ascii="Times New Roman" w:hAnsi="Times New Roman" w:cs="Times New Roman"/>
        </w:rPr>
      </w:pPr>
      <w:r w:rsidRPr="00CD7757">
        <w:rPr>
          <w:rFonts w:ascii="Times New Roman" w:hAnsi="Times New Roman" w:cs="Times New Roman"/>
        </w:rPr>
        <w:t xml:space="preserve">This increases the threshold, and a large percentage of establishments, especially smaller and medium-sized enterprises, where workers are more vulnerable to exploitation, are outside regulatory purview. This could create a situation wherein workers are at a further disadvantage and could be exploited by management, leading to a situation wherein unilateral lay-offs become easier, especially in industries that already have a high rate of worker insecurity. This could be a dangerous trend, especially considering that </w:t>
      </w:r>
      <w:proofErr w:type="gramStart"/>
      <w:r w:rsidRPr="00CD7757">
        <w:rPr>
          <w:rFonts w:ascii="Times New Roman" w:hAnsi="Times New Roman" w:cs="Times New Roman"/>
        </w:rPr>
        <w:t>a majority of</w:t>
      </w:r>
      <w:proofErr w:type="gramEnd"/>
      <w:r w:rsidRPr="00CD7757">
        <w:rPr>
          <w:rFonts w:ascii="Times New Roman" w:hAnsi="Times New Roman" w:cs="Times New Roman"/>
        </w:rPr>
        <w:t xml:space="preserve"> enterprises have fewer than 300 workers. This flexibilization could be great for ease of doing business but could spell disaster for workers unless union rights are scrupulously protected.</w:t>
      </w:r>
    </w:p>
    <w:p w14:paraId="00469AFE" w14:textId="77777777" w:rsidR="00CD7757" w:rsidRDefault="00CD7757" w:rsidP="00CD7757">
      <w:pPr>
        <w:spacing w:line="360" w:lineRule="auto"/>
        <w:rPr>
          <w:rFonts w:ascii="Times New Roman" w:hAnsi="Times New Roman" w:cs="Times New Roman"/>
        </w:rPr>
      </w:pPr>
    </w:p>
    <w:p w14:paraId="60E3C0C3" w14:textId="77777777" w:rsidR="006C1B12" w:rsidRDefault="006C1B12" w:rsidP="00CD7757">
      <w:pPr>
        <w:spacing w:line="360" w:lineRule="auto"/>
        <w:rPr>
          <w:rFonts w:ascii="Times New Roman" w:hAnsi="Times New Roman" w:cs="Times New Roman"/>
        </w:rPr>
      </w:pPr>
    </w:p>
    <w:p w14:paraId="2F62723F" w14:textId="77777777" w:rsidR="006C1B12" w:rsidRDefault="006C1B12" w:rsidP="00CD7757">
      <w:pPr>
        <w:spacing w:line="360" w:lineRule="auto"/>
        <w:rPr>
          <w:rFonts w:ascii="Times New Roman" w:hAnsi="Times New Roman" w:cs="Times New Roman"/>
        </w:rPr>
      </w:pPr>
    </w:p>
    <w:p w14:paraId="307123BA" w14:textId="77777777" w:rsidR="006C1B12" w:rsidRDefault="006C1B12" w:rsidP="00CD7757">
      <w:pPr>
        <w:spacing w:line="360" w:lineRule="auto"/>
        <w:rPr>
          <w:rFonts w:ascii="Times New Roman" w:hAnsi="Times New Roman" w:cs="Times New Roman"/>
        </w:rPr>
      </w:pPr>
    </w:p>
    <w:p w14:paraId="312BBC44" w14:textId="77777777" w:rsidR="006C1B12" w:rsidRPr="00057362" w:rsidRDefault="006C1B12" w:rsidP="00CD7757">
      <w:pPr>
        <w:spacing w:line="360" w:lineRule="auto"/>
        <w:rPr>
          <w:rFonts w:ascii="Times New Roman" w:hAnsi="Times New Roman" w:cs="Times New Roman"/>
        </w:rPr>
      </w:pPr>
    </w:p>
    <w:p w14:paraId="4AE2AC06" w14:textId="77777777" w:rsidR="00057362" w:rsidRPr="00057362" w:rsidRDefault="00057362" w:rsidP="00057362">
      <w:pPr>
        <w:spacing w:line="360" w:lineRule="auto"/>
        <w:jc w:val="center"/>
        <w:rPr>
          <w:rFonts w:ascii="Times New Roman" w:hAnsi="Times New Roman" w:cs="Times New Roman"/>
          <w:b/>
          <w:bCs/>
        </w:rPr>
      </w:pPr>
      <w:r w:rsidRPr="00057362">
        <w:rPr>
          <w:rFonts w:ascii="Times New Roman" w:hAnsi="Times New Roman" w:cs="Times New Roman"/>
          <w:b/>
          <w:bCs/>
        </w:rPr>
        <w:lastRenderedPageBreak/>
        <w:t>VI. Social Security and the Informal Workforce</w:t>
      </w:r>
    </w:p>
    <w:p w14:paraId="74EE4502" w14:textId="4DC4045F" w:rsidR="00057362" w:rsidRPr="00057362" w:rsidRDefault="00057362" w:rsidP="00057362">
      <w:pPr>
        <w:spacing w:line="360" w:lineRule="auto"/>
        <w:rPr>
          <w:rFonts w:ascii="Times New Roman" w:hAnsi="Times New Roman" w:cs="Times New Roman"/>
        </w:rPr>
      </w:pPr>
      <w:r w:rsidRPr="00057362">
        <w:rPr>
          <w:rFonts w:ascii="Times New Roman" w:hAnsi="Times New Roman" w:cs="Times New Roman"/>
        </w:rPr>
        <w:t>The Code on Social Security, 2020 extends coverage to gig and platform workers</w:t>
      </w:r>
      <w:r>
        <w:rPr>
          <w:rFonts w:ascii="Times New Roman" w:hAnsi="Times New Roman" w:cs="Times New Roman"/>
        </w:rPr>
        <w:t xml:space="preserve"> </w:t>
      </w:r>
      <w:r w:rsidRPr="00057362">
        <w:rPr>
          <w:rFonts w:ascii="Times New Roman" w:hAnsi="Times New Roman" w:cs="Times New Roman"/>
        </w:rPr>
        <w:t xml:space="preserve">a progressive step in </w:t>
      </w:r>
      <w:r w:rsidRPr="00057362">
        <w:rPr>
          <w:rFonts w:ascii="Times New Roman" w:hAnsi="Times New Roman" w:cs="Times New Roman"/>
        </w:rPr>
        <w:t>theory</w:t>
      </w:r>
      <w:r w:rsidR="000F0F30">
        <w:rPr>
          <w:rStyle w:val="FootnoteReference"/>
          <w:rFonts w:ascii="Times New Roman" w:hAnsi="Times New Roman" w:cs="Times New Roman"/>
        </w:rPr>
        <w:footnoteReference w:id="7"/>
      </w:r>
      <w:r w:rsidRPr="00057362">
        <w:rPr>
          <w:rFonts w:ascii="Times New Roman" w:hAnsi="Times New Roman" w:cs="Times New Roman"/>
        </w:rPr>
        <w:t>.</w:t>
      </w:r>
      <w:r w:rsidRPr="00057362">
        <w:rPr>
          <w:rFonts w:ascii="Times New Roman" w:hAnsi="Times New Roman" w:cs="Times New Roman"/>
        </w:rPr>
        <w:t xml:space="preserve"> However, much of the scheme depends on executive </w:t>
      </w:r>
      <w:r w:rsidRPr="00057362">
        <w:rPr>
          <w:rFonts w:ascii="Times New Roman" w:hAnsi="Times New Roman" w:cs="Times New Roman"/>
        </w:rPr>
        <w:t>rulemaking</w:t>
      </w:r>
      <w:r w:rsidRPr="00057362">
        <w:rPr>
          <w:rFonts w:ascii="Times New Roman" w:hAnsi="Times New Roman" w:cs="Times New Roman"/>
        </w:rPr>
        <w:t xml:space="preserve"> and contributions yet to be operationalised.</w:t>
      </w:r>
    </w:p>
    <w:p w14:paraId="73DA4DF7" w14:textId="77777777" w:rsidR="00057362" w:rsidRPr="00057362" w:rsidRDefault="00057362" w:rsidP="00057362">
      <w:pPr>
        <w:spacing w:line="360" w:lineRule="auto"/>
        <w:rPr>
          <w:rFonts w:ascii="Times New Roman" w:hAnsi="Times New Roman" w:cs="Times New Roman"/>
        </w:rPr>
      </w:pPr>
      <w:r w:rsidRPr="00057362">
        <w:rPr>
          <w:rFonts w:ascii="Times New Roman" w:hAnsi="Times New Roman" w:cs="Times New Roman"/>
        </w:rPr>
        <w:t>India’s informal workforce remains vast. Without clear enforcement mechanisms and mandatory contributions, social security risks becoming aspirational rather than enforceable.</w:t>
      </w:r>
    </w:p>
    <w:p w14:paraId="7DA2A7D8" w14:textId="7C87CD79" w:rsidR="00057362" w:rsidRDefault="00057362" w:rsidP="00057362">
      <w:pPr>
        <w:spacing w:line="360" w:lineRule="auto"/>
        <w:rPr>
          <w:rFonts w:ascii="Times New Roman" w:hAnsi="Times New Roman" w:cs="Times New Roman"/>
        </w:rPr>
      </w:pPr>
      <w:r w:rsidRPr="00057362">
        <w:rPr>
          <w:rFonts w:ascii="Times New Roman" w:hAnsi="Times New Roman" w:cs="Times New Roman"/>
        </w:rPr>
        <w:t>The ILO’s Decent Work Agenda emphasises universal social protection</w:t>
      </w:r>
      <w:r w:rsidR="0053237E">
        <w:rPr>
          <w:rStyle w:val="FootnoteReference"/>
          <w:rFonts w:ascii="Times New Roman" w:hAnsi="Times New Roman" w:cs="Times New Roman"/>
        </w:rPr>
        <w:footnoteReference w:id="8"/>
      </w:r>
      <w:r w:rsidRPr="00057362">
        <w:rPr>
          <w:rFonts w:ascii="Times New Roman" w:hAnsi="Times New Roman" w:cs="Times New Roman"/>
        </w:rPr>
        <w:t xml:space="preserve"> as foundational to </w:t>
      </w:r>
      <w:r w:rsidRPr="00057362">
        <w:rPr>
          <w:rFonts w:ascii="Times New Roman" w:hAnsi="Times New Roman" w:cs="Times New Roman"/>
        </w:rPr>
        <w:t>dignity.</w:t>
      </w:r>
      <w:r w:rsidRPr="00057362">
        <w:rPr>
          <w:rFonts w:ascii="Times New Roman" w:hAnsi="Times New Roman" w:cs="Times New Roman"/>
        </w:rPr>
        <w:t xml:space="preserve"> Partial or discretionary inclusion undermines this vision.</w:t>
      </w:r>
    </w:p>
    <w:p w14:paraId="50D0DD41" w14:textId="77777777" w:rsidR="001C1E42" w:rsidRPr="00057362" w:rsidRDefault="001C1E42" w:rsidP="00057362">
      <w:pPr>
        <w:spacing w:line="360" w:lineRule="auto"/>
        <w:rPr>
          <w:rFonts w:ascii="Times New Roman" w:hAnsi="Times New Roman" w:cs="Times New Roman"/>
        </w:rPr>
      </w:pPr>
    </w:p>
    <w:p w14:paraId="640DF9B6" w14:textId="77777777" w:rsidR="00057362" w:rsidRPr="00057362" w:rsidRDefault="00057362" w:rsidP="00057362">
      <w:pPr>
        <w:spacing w:line="360" w:lineRule="auto"/>
        <w:jc w:val="center"/>
        <w:rPr>
          <w:rFonts w:ascii="Times New Roman" w:hAnsi="Times New Roman" w:cs="Times New Roman"/>
          <w:b/>
          <w:bCs/>
        </w:rPr>
      </w:pPr>
      <w:r w:rsidRPr="00057362">
        <w:rPr>
          <w:rFonts w:ascii="Times New Roman" w:hAnsi="Times New Roman" w:cs="Times New Roman"/>
          <w:b/>
          <w:bCs/>
        </w:rPr>
        <w:t>VII. Regulatory Enforcement and Executive Discretion</w:t>
      </w:r>
    </w:p>
    <w:p w14:paraId="2A66FD10" w14:textId="6286A61D" w:rsidR="008D651D" w:rsidRDefault="008F2189" w:rsidP="00057362">
      <w:pPr>
        <w:spacing w:line="360" w:lineRule="auto"/>
        <w:rPr>
          <w:rFonts w:ascii="Times New Roman" w:hAnsi="Times New Roman" w:cs="Times New Roman"/>
        </w:rPr>
      </w:pPr>
      <w:r w:rsidRPr="008F2189">
        <w:rPr>
          <w:rFonts w:ascii="Times New Roman" w:hAnsi="Times New Roman" w:cs="Times New Roman"/>
        </w:rPr>
        <w:t>The Occupational Safety, Health and Working Conditions Code consolidates all safety rules but also places a lot of rule-making authority in the hands of the executive. When too much is delegated to the executive, legislative accountability is forgotten. In fact, in re Delhi Laws Act, the Supreme Court itself warned against excessive delegation</w:t>
      </w:r>
      <w:r w:rsidR="008665B7">
        <w:rPr>
          <w:rStyle w:val="FootnoteReference"/>
          <w:rFonts w:ascii="Times New Roman" w:hAnsi="Times New Roman" w:cs="Times New Roman"/>
        </w:rPr>
        <w:footnoteReference w:id="9"/>
      </w:r>
      <w:r w:rsidRPr="008F2189">
        <w:rPr>
          <w:rFonts w:ascii="Times New Roman" w:hAnsi="Times New Roman" w:cs="Times New Roman"/>
        </w:rPr>
        <w:t>. When the key to essential protection is in what the executive publicly notifies, certainty is forgotten. Workers’ rights cannot rest on administrative discretion alone.</w:t>
      </w:r>
    </w:p>
    <w:p w14:paraId="51C64F40" w14:textId="77777777" w:rsidR="00A90781" w:rsidRPr="00057362" w:rsidRDefault="00A90781" w:rsidP="00057362">
      <w:pPr>
        <w:spacing w:line="360" w:lineRule="auto"/>
        <w:rPr>
          <w:rFonts w:ascii="Times New Roman" w:hAnsi="Times New Roman" w:cs="Times New Roman"/>
        </w:rPr>
      </w:pPr>
    </w:p>
    <w:p w14:paraId="5C893CE7" w14:textId="77777777" w:rsidR="00057362" w:rsidRPr="00057362" w:rsidRDefault="00057362" w:rsidP="00A90781">
      <w:pPr>
        <w:spacing w:line="360" w:lineRule="auto"/>
        <w:jc w:val="center"/>
        <w:rPr>
          <w:rFonts w:ascii="Times New Roman" w:hAnsi="Times New Roman" w:cs="Times New Roman"/>
          <w:b/>
          <w:bCs/>
        </w:rPr>
      </w:pPr>
      <w:r w:rsidRPr="00057362">
        <w:rPr>
          <w:rFonts w:ascii="Times New Roman" w:hAnsi="Times New Roman" w:cs="Times New Roman"/>
          <w:b/>
          <w:bCs/>
        </w:rPr>
        <w:t>VIII. International and Comparative Perspectives</w:t>
      </w:r>
    </w:p>
    <w:p w14:paraId="173D565B" w14:textId="24A8B517" w:rsidR="00A90781" w:rsidRPr="00A90781" w:rsidRDefault="00A90781" w:rsidP="00A90781">
      <w:pPr>
        <w:spacing w:line="360" w:lineRule="auto"/>
        <w:rPr>
          <w:rFonts w:ascii="Times New Roman" w:hAnsi="Times New Roman" w:cs="Times New Roman"/>
        </w:rPr>
      </w:pPr>
      <w:r w:rsidRPr="00A90781">
        <w:rPr>
          <w:rFonts w:ascii="Times New Roman" w:hAnsi="Times New Roman" w:cs="Times New Roman"/>
        </w:rPr>
        <w:t xml:space="preserve">Across the world, the pendulum of </w:t>
      </w:r>
      <w:r w:rsidRPr="00A90781">
        <w:rPr>
          <w:rFonts w:ascii="Times New Roman" w:hAnsi="Times New Roman" w:cs="Times New Roman"/>
        </w:rPr>
        <w:t>labour</w:t>
      </w:r>
      <w:r w:rsidRPr="00A90781">
        <w:rPr>
          <w:rFonts w:ascii="Times New Roman" w:hAnsi="Times New Roman" w:cs="Times New Roman"/>
        </w:rPr>
        <w:t xml:space="preserve"> reform oscillates between flexibility and protection of workers. Some European countries are experimenting with “flexicurity”</w:t>
      </w:r>
      <w:r w:rsidR="00EB7459">
        <w:rPr>
          <w:rFonts w:ascii="Times New Roman" w:hAnsi="Times New Roman" w:cs="Times New Roman"/>
        </w:rPr>
        <w:t xml:space="preserve"> </w:t>
      </w:r>
      <w:r w:rsidR="00EB7459" w:rsidRPr="00A90781">
        <w:rPr>
          <w:rFonts w:ascii="Times New Roman" w:hAnsi="Times New Roman" w:cs="Times New Roman"/>
        </w:rPr>
        <w:t>labour</w:t>
      </w:r>
      <w:r w:rsidRPr="00A90781">
        <w:rPr>
          <w:rFonts w:ascii="Times New Roman" w:hAnsi="Times New Roman" w:cs="Times New Roman"/>
        </w:rPr>
        <w:t xml:space="preserve"> flexibility coupled with strong social security arrangements. However, India’s path may lead to greater flexibility without adequate underpinnings of security.</w:t>
      </w:r>
    </w:p>
    <w:p w14:paraId="474320E3" w14:textId="16949A5B" w:rsidR="00A90781" w:rsidRDefault="00A90781" w:rsidP="00A90781">
      <w:pPr>
        <w:spacing w:line="360" w:lineRule="auto"/>
        <w:rPr>
          <w:rFonts w:ascii="Times New Roman" w:hAnsi="Times New Roman" w:cs="Times New Roman"/>
        </w:rPr>
      </w:pPr>
      <w:r w:rsidRPr="00A90781">
        <w:rPr>
          <w:rFonts w:ascii="Times New Roman" w:hAnsi="Times New Roman" w:cs="Times New Roman"/>
        </w:rPr>
        <w:t>Global principles: ILO Conventions 87 and 98 focus on the principles of freedom of association and the right to collective bargaining</w:t>
      </w:r>
      <w:r w:rsidR="00E66661">
        <w:rPr>
          <w:rStyle w:val="FootnoteReference"/>
          <w:rFonts w:ascii="Times New Roman" w:hAnsi="Times New Roman" w:cs="Times New Roman"/>
        </w:rPr>
        <w:footnoteReference w:id="10"/>
      </w:r>
      <w:r w:rsidR="006F2E72">
        <w:rPr>
          <w:rStyle w:val="FootnoteReference"/>
          <w:rFonts w:ascii="Times New Roman" w:hAnsi="Times New Roman" w:cs="Times New Roman"/>
        </w:rPr>
        <w:footnoteReference w:id="11"/>
      </w:r>
      <w:r w:rsidRPr="00A90781">
        <w:rPr>
          <w:rFonts w:ascii="Times New Roman" w:hAnsi="Times New Roman" w:cs="Times New Roman"/>
        </w:rPr>
        <w:t xml:space="preserve">. India has not ratified all ILO </w:t>
      </w:r>
      <w:r w:rsidRPr="00A90781">
        <w:rPr>
          <w:rFonts w:ascii="Times New Roman" w:hAnsi="Times New Roman" w:cs="Times New Roman"/>
        </w:rPr>
        <w:lastRenderedPageBreak/>
        <w:t>conventions, but constitutional interpretation is increasingly guided by international human rights principles.</w:t>
      </w:r>
    </w:p>
    <w:p w14:paraId="5CB57471" w14:textId="77777777" w:rsidR="006F2E72" w:rsidRDefault="006F2E72" w:rsidP="00A90781">
      <w:pPr>
        <w:spacing w:line="360" w:lineRule="auto"/>
        <w:rPr>
          <w:rFonts w:ascii="Times New Roman" w:hAnsi="Times New Roman" w:cs="Times New Roman"/>
        </w:rPr>
      </w:pPr>
    </w:p>
    <w:p w14:paraId="30F3D7FF" w14:textId="7A0C5C70" w:rsidR="00057362" w:rsidRPr="00057362" w:rsidRDefault="00057362" w:rsidP="00A90781">
      <w:pPr>
        <w:spacing w:line="360" w:lineRule="auto"/>
        <w:jc w:val="center"/>
        <w:rPr>
          <w:rFonts w:ascii="Times New Roman" w:hAnsi="Times New Roman" w:cs="Times New Roman"/>
          <w:b/>
          <w:bCs/>
        </w:rPr>
      </w:pPr>
      <w:r w:rsidRPr="00057362">
        <w:rPr>
          <w:rFonts w:ascii="Times New Roman" w:hAnsi="Times New Roman" w:cs="Times New Roman"/>
          <w:b/>
          <w:bCs/>
        </w:rPr>
        <w:t>IX. Recalibrating Reform: A Rights-Based Approach</w:t>
      </w:r>
    </w:p>
    <w:p w14:paraId="15B21107" w14:textId="77777777" w:rsidR="00057362" w:rsidRPr="00057362" w:rsidRDefault="00057362" w:rsidP="00057362">
      <w:pPr>
        <w:spacing w:line="360" w:lineRule="auto"/>
        <w:rPr>
          <w:rFonts w:ascii="Times New Roman" w:hAnsi="Times New Roman" w:cs="Times New Roman"/>
        </w:rPr>
      </w:pPr>
      <w:r w:rsidRPr="00057362">
        <w:rPr>
          <w:rFonts w:ascii="Times New Roman" w:hAnsi="Times New Roman" w:cs="Times New Roman"/>
        </w:rPr>
        <w:t>Reform need not be regressive. Simplification can coexist with protection. However, dignity must remain non-negotiable.</w:t>
      </w:r>
    </w:p>
    <w:p w14:paraId="6B4406A4" w14:textId="77777777" w:rsidR="00057362" w:rsidRPr="00057362" w:rsidRDefault="00057362" w:rsidP="00057362">
      <w:pPr>
        <w:spacing w:line="360" w:lineRule="auto"/>
        <w:rPr>
          <w:rFonts w:ascii="Times New Roman" w:hAnsi="Times New Roman" w:cs="Times New Roman"/>
        </w:rPr>
      </w:pPr>
      <w:r w:rsidRPr="00057362">
        <w:rPr>
          <w:rFonts w:ascii="Times New Roman" w:hAnsi="Times New Roman" w:cs="Times New Roman"/>
        </w:rPr>
        <w:t>A rights-based recalibration would include:</w:t>
      </w:r>
    </w:p>
    <w:p w14:paraId="2BBFBE43" w14:textId="77777777" w:rsidR="00057362" w:rsidRPr="00057362" w:rsidRDefault="00057362" w:rsidP="00057362">
      <w:pPr>
        <w:numPr>
          <w:ilvl w:val="0"/>
          <w:numId w:val="1"/>
        </w:numPr>
        <w:spacing w:line="360" w:lineRule="auto"/>
        <w:rPr>
          <w:rFonts w:ascii="Times New Roman" w:hAnsi="Times New Roman" w:cs="Times New Roman"/>
        </w:rPr>
      </w:pPr>
      <w:r w:rsidRPr="00057362">
        <w:rPr>
          <w:rFonts w:ascii="Times New Roman" w:hAnsi="Times New Roman" w:cs="Times New Roman"/>
        </w:rPr>
        <w:t>Stronger safeguards against arbitrary termination.</w:t>
      </w:r>
    </w:p>
    <w:p w14:paraId="75F2CD67" w14:textId="77777777" w:rsidR="00057362" w:rsidRPr="00057362" w:rsidRDefault="00057362" w:rsidP="00057362">
      <w:pPr>
        <w:numPr>
          <w:ilvl w:val="0"/>
          <w:numId w:val="1"/>
        </w:numPr>
        <w:spacing w:line="360" w:lineRule="auto"/>
        <w:rPr>
          <w:rFonts w:ascii="Times New Roman" w:hAnsi="Times New Roman" w:cs="Times New Roman"/>
        </w:rPr>
      </w:pPr>
      <w:r w:rsidRPr="00057362">
        <w:rPr>
          <w:rFonts w:ascii="Times New Roman" w:hAnsi="Times New Roman" w:cs="Times New Roman"/>
        </w:rPr>
        <w:t>Mandatory and enforceable social security contributions.</w:t>
      </w:r>
    </w:p>
    <w:p w14:paraId="7EBEEA0A" w14:textId="77777777" w:rsidR="00057362" w:rsidRPr="00057362" w:rsidRDefault="00057362" w:rsidP="00057362">
      <w:pPr>
        <w:numPr>
          <w:ilvl w:val="0"/>
          <w:numId w:val="1"/>
        </w:numPr>
        <w:spacing w:line="360" w:lineRule="auto"/>
        <w:rPr>
          <w:rFonts w:ascii="Times New Roman" w:hAnsi="Times New Roman" w:cs="Times New Roman"/>
        </w:rPr>
      </w:pPr>
      <w:r w:rsidRPr="00057362">
        <w:rPr>
          <w:rFonts w:ascii="Times New Roman" w:hAnsi="Times New Roman" w:cs="Times New Roman"/>
        </w:rPr>
        <w:t>Lower thresholds for collective protection.</w:t>
      </w:r>
    </w:p>
    <w:p w14:paraId="7D258B1F" w14:textId="77777777" w:rsidR="00057362" w:rsidRPr="00057362" w:rsidRDefault="00057362" w:rsidP="00057362">
      <w:pPr>
        <w:numPr>
          <w:ilvl w:val="0"/>
          <w:numId w:val="1"/>
        </w:numPr>
        <w:spacing w:line="360" w:lineRule="auto"/>
        <w:rPr>
          <w:rFonts w:ascii="Times New Roman" w:hAnsi="Times New Roman" w:cs="Times New Roman"/>
        </w:rPr>
      </w:pPr>
      <w:r w:rsidRPr="00057362">
        <w:rPr>
          <w:rFonts w:ascii="Times New Roman" w:hAnsi="Times New Roman" w:cs="Times New Roman"/>
        </w:rPr>
        <w:t>Clear limits on executive discretion.</w:t>
      </w:r>
    </w:p>
    <w:p w14:paraId="24573074" w14:textId="77777777" w:rsidR="00057362" w:rsidRPr="00057362" w:rsidRDefault="00057362" w:rsidP="00057362">
      <w:pPr>
        <w:numPr>
          <w:ilvl w:val="0"/>
          <w:numId w:val="1"/>
        </w:numPr>
        <w:spacing w:line="360" w:lineRule="auto"/>
        <w:rPr>
          <w:rFonts w:ascii="Times New Roman" w:hAnsi="Times New Roman" w:cs="Times New Roman"/>
        </w:rPr>
      </w:pPr>
      <w:r w:rsidRPr="00057362">
        <w:rPr>
          <w:rFonts w:ascii="Times New Roman" w:hAnsi="Times New Roman" w:cs="Times New Roman"/>
        </w:rPr>
        <w:t>Independent oversight mechanisms.</w:t>
      </w:r>
    </w:p>
    <w:p w14:paraId="051EA7B6" w14:textId="2D35C118" w:rsidR="00C96D0F" w:rsidRDefault="00057362" w:rsidP="00057362">
      <w:pPr>
        <w:spacing w:line="360" w:lineRule="auto"/>
        <w:rPr>
          <w:rFonts w:ascii="Times New Roman" w:hAnsi="Times New Roman" w:cs="Times New Roman"/>
        </w:rPr>
      </w:pPr>
      <w:r w:rsidRPr="00057362">
        <w:rPr>
          <w:rFonts w:ascii="Times New Roman" w:hAnsi="Times New Roman" w:cs="Times New Roman"/>
        </w:rPr>
        <w:t>Economic growth and constitutional dignity are not mutually exclusive. But when growth displaces rights, constitutional morality demands correction.</w:t>
      </w:r>
    </w:p>
    <w:p w14:paraId="0B6EF884" w14:textId="77777777" w:rsidR="008D651D" w:rsidRPr="00057362" w:rsidRDefault="008D651D" w:rsidP="00057362">
      <w:pPr>
        <w:spacing w:line="360" w:lineRule="auto"/>
        <w:rPr>
          <w:rFonts w:ascii="Times New Roman" w:hAnsi="Times New Roman" w:cs="Times New Roman"/>
        </w:rPr>
      </w:pPr>
    </w:p>
    <w:p w14:paraId="406B7442" w14:textId="77777777" w:rsidR="00057362" w:rsidRPr="00057362" w:rsidRDefault="00057362" w:rsidP="00057362">
      <w:pPr>
        <w:spacing w:line="360" w:lineRule="auto"/>
        <w:jc w:val="center"/>
        <w:rPr>
          <w:rFonts w:ascii="Times New Roman" w:hAnsi="Times New Roman" w:cs="Times New Roman"/>
          <w:b/>
          <w:bCs/>
        </w:rPr>
      </w:pPr>
      <w:r w:rsidRPr="00057362">
        <w:rPr>
          <w:rFonts w:ascii="Times New Roman" w:hAnsi="Times New Roman" w:cs="Times New Roman"/>
          <w:b/>
          <w:bCs/>
        </w:rPr>
        <w:t>X. Conclusion</w:t>
      </w:r>
    </w:p>
    <w:p w14:paraId="70F29C44" w14:textId="27DECD9B" w:rsidR="00EF3B4F" w:rsidRPr="00EF3B4F" w:rsidRDefault="00EF3B4F" w:rsidP="00EF3B4F">
      <w:pPr>
        <w:spacing w:line="360" w:lineRule="auto"/>
        <w:rPr>
          <w:rFonts w:ascii="Times New Roman" w:hAnsi="Times New Roman" w:cs="Times New Roman"/>
        </w:rPr>
      </w:pPr>
      <w:r w:rsidRPr="00EF3B4F">
        <w:rPr>
          <w:rFonts w:ascii="Times New Roman" w:hAnsi="Times New Roman" w:cs="Times New Roman"/>
        </w:rPr>
        <w:t xml:space="preserve">The four Labour Codes are the biggest overhaul in the country’s </w:t>
      </w:r>
      <w:r w:rsidRPr="00EF3B4F">
        <w:rPr>
          <w:rFonts w:ascii="Times New Roman" w:hAnsi="Times New Roman" w:cs="Times New Roman"/>
        </w:rPr>
        <w:t>labour</w:t>
      </w:r>
      <w:r w:rsidRPr="00EF3B4F">
        <w:rPr>
          <w:rFonts w:ascii="Times New Roman" w:hAnsi="Times New Roman" w:cs="Times New Roman"/>
        </w:rPr>
        <w:t xml:space="preserve"> landscape since independence, bringing together 29 scattered laws into a singular framework. The Codes are set to come into effect in November 2025, with the full implementation taking place in early 2026 with the promulgation of central and state laws. The Codes are simpler, easier to comply with, and better for the economy, a move away from the older regime’s inflexibility and into a more employer-friendly space.</w:t>
      </w:r>
    </w:p>
    <w:p w14:paraId="1455F72B" w14:textId="4E42A657" w:rsidR="00EF3B4F" w:rsidRPr="00EF3B4F" w:rsidRDefault="00EF3B4F" w:rsidP="00EF3B4F">
      <w:pPr>
        <w:spacing w:line="360" w:lineRule="auto"/>
        <w:rPr>
          <w:rFonts w:ascii="Times New Roman" w:hAnsi="Times New Roman" w:cs="Times New Roman"/>
        </w:rPr>
      </w:pPr>
      <w:r w:rsidRPr="00EF3B4F">
        <w:rPr>
          <w:rFonts w:ascii="Times New Roman" w:hAnsi="Times New Roman" w:cs="Times New Roman"/>
        </w:rPr>
        <w:t xml:space="preserve">This discussion has, however, shown that, </w:t>
      </w:r>
      <w:r w:rsidR="0059186D" w:rsidRPr="00EF3B4F">
        <w:rPr>
          <w:rFonts w:ascii="Times New Roman" w:hAnsi="Times New Roman" w:cs="Times New Roman"/>
        </w:rPr>
        <w:t>despite</w:t>
      </w:r>
      <w:r w:rsidRPr="00EF3B4F">
        <w:rPr>
          <w:rFonts w:ascii="Times New Roman" w:hAnsi="Times New Roman" w:cs="Times New Roman"/>
        </w:rPr>
        <w:t xml:space="preserve"> its modernity, the Labour Codes are likely to cement precarity into the fabric of the Indian </w:t>
      </w:r>
      <w:r w:rsidRPr="00EF3B4F">
        <w:rPr>
          <w:rFonts w:ascii="Times New Roman" w:hAnsi="Times New Roman" w:cs="Times New Roman"/>
        </w:rPr>
        <w:t>labour</w:t>
      </w:r>
      <w:r w:rsidRPr="00EF3B4F">
        <w:rPr>
          <w:rFonts w:ascii="Times New Roman" w:hAnsi="Times New Roman" w:cs="Times New Roman"/>
        </w:rPr>
        <w:t xml:space="preserve"> market, a feature that is likely to be around for a while. The Codes prioritize </w:t>
      </w:r>
      <w:r w:rsidRPr="00EF3B4F">
        <w:rPr>
          <w:rFonts w:ascii="Times New Roman" w:hAnsi="Times New Roman" w:cs="Times New Roman"/>
        </w:rPr>
        <w:t>labour</w:t>
      </w:r>
      <w:r w:rsidRPr="00EF3B4F">
        <w:rPr>
          <w:rFonts w:ascii="Times New Roman" w:hAnsi="Times New Roman" w:cs="Times New Roman"/>
        </w:rPr>
        <w:t xml:space="preserve"> market flexibility, raising the threshold for retrenchment, and normalizing fixed-term contracts and bargaining, all of which are likely to make workers more vulnerable in a market where precarious and informal work is already the norm.</w:t>
      </w:r>
    </w:p>
    <w:p w14:paraId="0134870F" w14:textId="7F0F27C3" w:rsidR="00EF3B4F" w:rsidRPr="00EF3B4F" w:rsidRDefault="00EF3B4F" w:rsidP="00EF3B4F">
      <w:pPr>
        <w:spacing w:line="360" w:lineRule="auto"/>
        <w:rPr>
          <w:rFonts w:ascii="Times New Roman" w:hAnsi="Times New Roman" w:cs="Times New Roman"/>
        </w:rPr>
      </w:pPr>
      <w:r w:rsidRPr="00EF3B4F">
        <w:rPr>
          <w:rFonts w:ascii="Times New Roman" w:hAnsi="Times New Roman" w:cs="Times New Roman"/>
        </w:rPr>
        <w:lastRenderedPageBreak/>
        <w:t>India is a republic that prides itself on its respect for human dignity, and this is captured in its Constitution. The Directive Principles of State Policy mandate the State to provide adequate livelihoods (Article 39), the right to work (Article 41), and humane working conditions and living wages (Article 42). The Supreme Court has consistently held that the right to livelihood and a life of dignity is a part of the right to life under Article 21, and that the State cannot ignore its obligation to respect human dignity in the name of economic reforms.</w:t>
      </w:r>
    </w:p>
    <w:p w14:paraId="61E5A768" w14:textId="0E5434AA" w:rsidR="00057362" w:rsidRPr="00057362" w:rsidRDefault="00EF3B4F" w:rsidP="00EF3B4F">
      <w:pPr>
        <w:spacing w:line="360" w:lineRule="auto"/>
        <w:rPr>
          <w:rFonts w:ascii="Times New Roman" w:hAnsi="Times New Roman" w:cs="Times New Roman"/>
        </w:rPr>
      </w:pPr>
      <w:r w:rsidRPr="00EF3B4F">
        <w:rPr>
          <w:rFonts w:ascii="Times New Roman" w:hAnsi="Times New Roman" w:cs="Times New Roman"/>
        </w:rPr>
        <w:t xml:space="preserve">Dignified work is not antithetical to </w:t>
      </w:r>
      <w:r w:rsidRPr="00EF3B4F">
        <w:rPr>
          <w:rFonts w:ascii="Times New Roman" w:hAnsi="Times New Roman" w:cs="Times New Roman"/>
        </w:rPr>
        <w:t>growth;</w:t>
      </w:r>
      <w:r w:rsidRPr="00EF3B4F">
        <w:rPr>
          <w:rFonts w:ascii="Times New Roman" w:hAnsi="Times New Roman" w:cs="Times New Roman"/>
        </w:rPr>
        <w:t xml:space="preserve"> it is the anchor upon which growth must be achieved if a society is to call itself civilized and respect human dignity. Reforms must be balanced, and flexibility must be balanced with security, and economic gain with compassion. The real test of the Labour Codes is how well they are implemented and how well the judiciary ensures that the Codes are in line with the Constitution and its morality.</w:t>
      </w:r>
    </w:p>
    <w:sectPr w:rsidR="00057362" w:rsidRPr="0005736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CD8FA" w14:textId="77777777" w:rsidR="00C70D8E" w:rsidRDefault="00C70D8E" w:rsidP="00057362">
      <w:pPr>
        <w:spacing w:after="0" w:line="240" w:lineRule="auto"/>
      </w:pPr>
      <w:r>
        <w:separator/>
      </w:r>
    </w:p>
  </w:endnote>
  <w:endnote w:type="continuationSeparator" w:id="0">
    <w:p w14:paraId="29E282A7" w14:textId="77777777" w:rsidR="00C70D8E" w:rsidRDefault="00C70D8E" w:rsidP="000573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E553C" w14:textId="77777777" w:rsidR="00C70D8E" w:rsidRDefault="00C70D8E" w:rsidP="00057362">
      <w:pPr>
        <w:spacing w:after="0" w:line="240" w:lineRule="auto"/>
      </w:pPr>
      <w:r>
        <w:separator/>
      </w:r>
    </w:p>
  </w:footnote>
  <w:footnote w:type="continuationSeparator" w:id="0">
    <w:p w14:paraId="4C3CE0E8" w14:textId="77777777" w:rsidR="00C70D8E" w:rsidRDefault="00C70D8E" w:rsidP="00057362">
      <w:pPr>
        <w:spacing w:after="0" w:line="240" w:lineRule="auto"/>
      </w:pPr>
      <w:r>
        <w:continuationSeparator/>
      </w:r>
    </w:p>
  </w:footnote>
  <w:footnote w:id="1">
    <w:p w14:paraId="00D1236C" w14:textId="032DD332" w:rsidR="001E44FD" w:rsidRDefault="001E44FD">
      <w:pPr>
        <w:pStyle w:val="FootnoteText"/>
      </w:pPr>
      <w:r>
        <w:rPr>
          <w:rStyle w:val="FootnoteReference"/>
        </w:rPr>
        <w:footnoteRef/>
      </w:r>
      <w:r>
        <w:t xml:space="preserve"> Name: Adity Thakur</w:t>
      </w:r>
      <w:r w:rsidR="007D5A31">
        <w:t xml:space="preserve">: Designation: Law student: </w:t>
      </w:r>
      <w:r w:rsidR="006C1B12">
        <w:t xml:space="preserve">Affiliation: IILM University </w:t>
      </w:r>
    </w:p>
  </w:footnote>
  <w:footnote w:id="2">
    <w:p w14:paraId="4EB030A7" w14:textId="083C9346" w:rsidR="00596BC9" w:rsidRDefault="00596BC9">
      <w:pPr>
        <w:pStyle w:val="FootnoteText"/>
      </w:pPr>
      <w:r>
        <w:rPr>
          <w:rStyle w:val="FootnoteReference"/>
        </w:rPr>
        <w:footnoteRef/>
      </w:r>
      <w:r>
        <w:t xml:space="preserve"> </w:t>
      </w:r>
      <w:r w:rsidRPr="00596BC9">
        <w:rPr>
          <w:i/>
          <w:iCs/>
        </w:rPr>
        <w:t>Industrial Disputes Act, 1947</w:t>
      </w:r>
      <w:r w:rsidRPr="00596BC9">
        <w:t xml:space="preserve">, No. 14 of 1947, INDIA CODE; </w:t>
      </w:r>
      <w:r w:rsidRPr="00596BC9">
        <w:rPr>
          <w:i/>
          <w:iCs/>
        </w:rPr>
        <w:t>Factories Act, 1948</w:t>
      </w:r>
      <w:r w:rsidRPr="00596BC9">
        <w:t xml:space="preserve">, No. 63 of 1948, INDIA CODE; </w:t>
      </w:r>
      <w:r w:rsidRPr="00596BC9">
        <w:rPr>
          <w:i/>
          <w:iCs/>
        </w:rPr>
        <w:t>Employees’ Provident Funds and Miscellaneous Provisions Act, 1952</w:t>
      </w:r>
      <w:r w:rsidRPr="00596BC9">
        <w:t>, No. 19 of 1952, INDIA CODE</w:t>
      </w:r>
    </w:p>
  </w:footnote>
  <w:footnote w:id="3">
    <w:p w14:paraId="50D0E1B9" w14:textId="6B0AE1AD" w:rsidR="00433DCC" w:rsidRDefault="00433DCC">
      <w:pPr>
        <w:pStyle w:val="FootnoteText"/>
      </w:pPr>
      <w:r>
        <w:rPr>
          <w:rStyle w:val="FootnoteReference"/>
        </w:rPr>
        <w:footnoteRef/>
      </w:r>
      <w:r>
        <w:t xml:space="preserve"> </w:t>
      </w:r>
      <w:r w:rsidRPr="00433DCC">
        <w:rPr>
          <w:i/>
          <w:iCs/>
        </w:rPr>
        <w:t>Olga Tellis v. Bombay Municipal Corporation</w:t>
      </w:r>
      <w:r w:rsidRPr="00433DCC">
        <w:t>, (1985) 3 SCC 545 (India)</w:t>
      </w:r>
    </w:p>
  </w:footnote>
  <w:footnote w:id="4">
    <w:p w14:paraId="4783FDCC" w14:textId="77777777" w:rsidR="002553BC" w:rsidRPr="002553BC" w:rsidRDefault="002553BC" w:rsidP="002553BC">
      <w:pPr>
        <w:pStyle w:val="FootnoteText"/>
      </w:pPr>
      <w:r>
        <w:rPr>
          <w:rStyle w:val="FootnoteReference"/>
        </w:rPr>
        <w:footnoteRef/>
      </w:r>
      <w:r>
        <w:t xml:space="preserve"> </w:t>
      </w:r>
      <w:proofErr w:type="spellStart"/>
      <w:r w:rsidRPr="002553BC">
        <w:t>Bandhua</w:t>
      </w:r>
      <w:proofErr w:type="spellEnd"/>
      <w:r w:rsidRPr="002553BC">
        <w:t xml:space="preserve"> Mukti Morcha v. Union of India, (1984) 3 SCC 161, ¶ 10 (India)</w:t>
      </w:r>
    </w:p>
    <w:p w14:paraId="6233DF78" w14:textId="2DAC6715" w:rsidR="002553BC" w:rsidRDefault="002553BC">
      <w:pPr>
        <w:pStyle w:val="FootnoteText"/>
      </w:pPr>
    </w:p>
  </w:footnote>
  <w:footnote w:id="5">
    <w:p w14:paraId="00B5B0BD" w14:textId="64122A5E" w:rsidR="008B454F" w:rsidRDefault="008B454F">
      <w:pPr>
        <w:pStyle w:val="FootnoteText"/>
      </w:pPr>
      <w:r>
        <w:rPr>
          <w:rStyle w:val="FootnoteReference"/>
        </w:rPr>
        <w:footnoteRef/>
      </w:r>
      <w:r>
        <w:t xml:space="preserve"> </w:t>
      </w:r>
      <w:r w:rsidRPr="008B454F">
        <w:t xml:space="preserve">Ministry of Statistics &amp; Programme Implementation, </w:t>
      </w:r>
      <w:r w:rsidRPr="008B454F">
        <w:rPr>
          <w:i/>
          <w:iCs/>
        </w:rPr>
        <w:t>Periodic Labour Force Survey Annual Report 2023–24</w:t>
      </w:r>
      <w:r w:rsidRPr="008B454F">
        <w:t xml:space="preserve"> (Gov’t of India)</w:t>
      </w:r>
    </w:p>
  </w:footnote>
  <w:footnote w:id="6">
    <w:p w14:paraId="4BDA462E" w14:textId="7002AEF8" w:rsidR="00E74535" w:rsidRDefault="00E74535">
      <w:pPr>
        <w:pStyle w:val="FootnoteText"/>
      </w:pPr>
      <w:r>
        <w:rPr>
          <w:rStyle w:val="FootnoteReference"/>
        </w:rPr>
        <w:footnoteRef/>
      </w:r>
      <w:r>
        <w:t xml:space="preserve"> </w:t>
      </w:r>
      <w:r w:rsidRPr="00E74535">
        <w:rPr>
          <w:i/>
          <w:iCs/>
        </w:rPr>
        <w:t>Industrial Relations Code, 2020</w:t>
      </w:r>
      <w:r w:rsidRPr="00E74535">
        <w:t>, §§ 2(o), 2(</w:t>
      </w:r>
      <w:proofErr w:type="spellStart"/>
      <w:r w:rsidRPr="00E74535">
        <w:t>zh</w:t>
      </w:r>
      <w:proofErr w:type="spellEnd"/>
      <w:r w:rsidRPr="00E74535">
        <w:t>), No. 35 of 2020, INDIA CODE</w:t>
      </w:r>
    </w:p>
  </w:footnote>
  <w:footnote w:id="7">
    <w:p w14:paraId="73E885B4" w14:textId="07DF328E" w:rsidR="000F0F30" w:rsidRDefault="000F0F30">
      <w:pPr>
        <w:pStyle w:val="FootnoteText"/>
      </w:pPr>
      <w:r>
        <w:rPr>
          <w:rStyle w:val="FootnoteReference"/>
        </w:rPr>
        <w:footnoteRef/>
      </w:r>
      <w:r>
        <w:t xml:space="preserve"> </w:t>
      </w:r>
      <w:r w:rsidRPr="000F0F30">
        <w:rPr>
          <w:i/>
          <w:iCs/>
        </w:rPr>
        <w:t>Code on Social Security, 2020</w:t>
      </w:r>
      <w:r w:rsidRPr="000F0F30">
        <w:t>, No. 36 of 2020, INDIA CODE</w:t>
      </w:r>
    </w:p>
  </w:footnote>
  <w:footnote w:id="8">
    <w:p w14:paraId="00E297B8" w14:textId="784DEB89" w:rsidR="0053237E" w:rsidRDefault="0053237E">
      <w:pPr>
        <w:pStyle w:val="FootnoteText"/>
      </w:pPr>
      <w:r>
        <w:rPr>
          <w:rStyle w:val="FootnoteReference"/>
        </w:rPr>
        <w:footnoteRef/>
      </w:r>
      <w:r>
        <w:t xml:space="preserve"> </w:t>
      </w:r>
      <w:r w:rsidRPr="0053237E">
        <w:t xml:space="preserve">International Labour Organization, </w:t>
      </w:r>
      <w:r w:rsidRPr="0053237E">
        <w:rPr>
          <w:i/>
          <w:iCs/>
        </w:rPr>
        <w:t>Decent Work Agenda</w:t>
      </w:r>
      <w:r w:rsidRPr="0053237E">
        <w:t xml:space="preserve">, </w:t>
      </w:r>
      <w:hyperlink r:id="rId1" w:tgtFrame="_new" w:history="1">
        <w:r w:rsidRPr="0053237E">
          <w:rPr>
            <w:rStyle w:val="Hyperlink"/>
          </w:rPr>
          <w:t>https://www.ilo.org</w:t>
        </w:r>
      </w:hyperlink>
    </w:p>
  </w:footnote>
  <w:footnote w:id="9">
    <w:p w14:paraId="629F8B16" w14:textId="3C94A21F" w:rsidR="008665B7" w:rsidRDefault="008665B7">
      <w:pPr>
        <w:pStyle w:val="FootnoteText"/>
      </w:pPr>
      <w:r>
        <w:rPr>
          <w:rStyle w:val="FootnoteReference"/>
        </w:rPr>
        <w:footnoteRef/>
      </w:r>
      <w:r>
        <w:t xml:space="preserve"> </w:t>
      </w:r>
      <w:r w:rsidRPr="008665B7">
        <w:rPr>
          <w:i/>
          <w:iCs/>
        </w:rPr>
        <w:t>In re Delhi Laws Act</w:t>
      </w:r>
      <w:r w:rsidRPr="008665B7">
        <w:t>, AIR 1951 SC 332 (India)</w:t>
      </w:r>
    </w:p>
  </w:footnote>
  <w:footnote w:id="10">
    <w:p w14:paraId="48F0C559" w14:textId="68830A2E" w:rsidR="00E66661" w:rsidRDefault="00E66661">
      <w:pPr>
        <w:pStyle w:val="FootnoteText"/>
      </w:pPr>
      <w:r>
        <w:rPr>
          <w:rStyle w:val="FootnoteReference"/>
        </w:rPr>
        <w:footnoteRef/>
      </w:r>
      <w:r>
        <w:t xml:space="preserve"> </w:t>
      </w:r>
      <w:r w:rsidRPr="00E66661">
        <w:t>International Labour Organization, Convention No. 87: Freedom of Association and Protection of the Right to Organise Convention, 1948.</w:t>
      </w:r>
    </w:p>
  </w:footnote>
  <w:footnote w:id="11">
    <w:p w14:paraId="5DF244F0" w14:textId="5FFAFB8C" w:rsidR="006F2E72" w:rsidRDefault="006F2E72">
      <w:pPr>
        <w:pStyle w:val="FootnoteText"/>
      </w:pPr>
      <w:r>
        <w:rPr>
          <w:rStyle w:val="FootnoteReference"/>
        </w:rPr>
        <w:footnoteRef/>
      </w:r>
      <w:r>
        <w:t xml:space="preserve"> </w:t>
      </w:r>
      <w:r w:rsidRPr="006F2E72">
        <w:t>International Labour Organization, Convention No. 98: Right to Organise and Collective Bargaining Convention, 1949.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97B36"/>
    <w:multiLevelType w:val="multilevel"/>
    <w:tmpl w:val="2F869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2E6CE3"/>
    <w:multiLevelType w:val="multilevel"/>
    <w:tmpl w:val="5B0093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9744C6"/>
    <w:multiLevelType w:val="multilevel"/>
    <w:tmpl w:val="5B0093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77D2A5E"/>
    <w:multiLevelType w:val="multilevel"/>
    <w:tmpl w:val="5B0093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05568247">
    <w:abstractNumId w:val="0"/>
  </w:num>
  <w:num w:numId="2" w16cid:durableId="1048991902">
    <w:abstractNumId w:val="2"/>
  </w:num>
  <w:num w:numId="3" w16cid:durableId="525601227">
    <w:abstractNumId w:val="1"/>
  </w:num>
  <w:num w:numId="4" w16cid:durableId="322660288">
    <w:abstractNumId w:val="3"/>
  </w:num>
  <w:num w:numId="5" w16cid:durableId="2778384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362"/>
    <w:rsid w:val="00057362"/>
    <w:rsid w:val="000F0F30"/>
    <w:rsid w:val="00130F48"/>
    <w:rsid w:val="00150B27"/>
    <w:rsid w:val="0019303A"/>
    <w:rsid w:val="001C1E42"/>
    <w:rsid w:val="001E44FD"/>
    <w:rsid w:val="00222857"/>
    <w:rsid w:val="002553BC"/>
    <w:rsid w:val="002740C9"/>
    <w:rsid w:val="003010DB"/>
    <w:rsid w:val="003041FD"/>
    <w:rsid w:val="00433DCC"/>
    <w:rsid w:val="00473CEC"/>
    <w:rsid w:val="00517D1E"/>
    <w:rsid w:val="0053237E"/>
    <w:rsid w:val="0059186D"/>
    <w:rsid w:val="00596BC9"/>
    <w:rsid w:val="005A105F"/>
    <w:rsid w:val="005B0BC1"/>
    <w:rsid w:val="005C1969"/>
    <w:rsid w:val="006C1B12"/>
    <w:rsid w:val="006C2E48"/>
    <w:rsid w:val="006F2E72"/>
    <w:rsid w:val="00771DE0"/>
    <w:rsid w:val="007D5A31"/>
    <w:rsid w:val="00810309"/>
    <w:rsid w:val="008665B7"/>
    <w:rsid w:val="008B454F"/>
    <w:rsid w:val="008B4D28"/>
    <w:rsid w:val="008D651D"/>
    <w:rsid w:val="008F2189"/>
    <w:rsid w:val="00A90781"/>
    <w:rsid w:val="00AA781F"/>
    <w:rsid w:val="00AB6F21"/>
    <w:rsid w:val="00BC2ABA"/>
    <w:rsid w:val="00C70D8E"/>
    <w:rsid w:val="00C96D0F"/>
    <w:rsid w:val="00CD7757"/>
    <w:rsid w:val="00D54864"/>
    <w:rsid w:val="00D83D7A"/>
    <w:rsid w:val="00E66661"/>
    <w:rsid w:val="00E74535"/>
    <w:rsid w:val="00EB7459"/>
    <w:rsid w:val="00EE4D0A"/>
    <w:rsid w:val="00EF3B4F"/>
    <w:rsid w:val="00F809D1"/>
    <w:rsid w:val="00FC29B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8F58A"/>
  <w15:chartTrackingRefBased/>
  <w15:docId w15:val="{A5F81618-5F2F-47C6-BB14-F1CD17EA7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73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73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73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73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73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73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73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73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73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73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73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73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73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73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73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73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73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7362"/>
    <w:rPr>
      <w:rFonts w:eastAsiaTheme="majorEastAsia" w:cstheme="majorBidi"/>
      <w:color w:val="272727" w:themeColor="text1" w:themeTint="D8"/>
    </w:rPr>
  </w:style>
  <w:style w:type="paragraph" w:styleId="Title">
    <w:name w:val="Title"/>
    <w:basedOn w:val="Normal"/>
    <w:next w:val="Normal"/>
    <w:link w:val="TitleChar"/>
    <w:uiPriority w:val="10"/>
    <w:qFormat/>
    <w:rsid w:val="000573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73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73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73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7362"/>
    <w:pPr>
      <w:spacing w:before="160"/>
      <w:jc w:val="center"/>
    </w:pPr>
    <w:rPr>
      <w:i/>
      <w:iCs/>
      <w:color w:val="404040" w:themeColor="text1" w:themeTint="BF"/>
    </w:rPr>
  </w:style>
  <w:style w:type="character" w:customStyle="1" w:styleId="QuoteChar">
    <w:name w:val="Quote Char"/>
    <w:basedOn w:val="DefaultParagraphFont"/>
    <w:link w:val="Quote"/>
    <w:uiPriority w:val="29"/>
    <w:rsid w:val="00057362"/>
    <w:rPr>
      <w:i/>
      <w:iCs/>
      <w:color w:val="404040" w:themeColor="text1" w:themeTint="BF"/>
    </w:rPr>
  </w:style>
  <w:style w:type="paragraph" w:styleId="ListParagraph">
    <w:name w:val="List Paragraph"/>
    <w:basedOn w:val="Normal"/>
    <w:uiPriority w:val="34"/>
    <w:qFormat/>
    <w:rsid w:val="00057362"/>
    <w:pPr>
      <w:ind w:left="720"/>
      <w:contextualSpacing/>
    </w:pPr>
  </w:style>
  <w:style w:type="character" w:styleId="IntenseEmphasis">
    <w:name w:val="Intense Emphasis"/>
    <w:basedOn w:val="DefaultParagraphFont"/>
    <w:uiPriority w:val="21"/>
    <w:qFormat/>
    <w:rsid w:val="00057362"/>
    <w:rPr>
      <w:i/>
      <w:iCs/>
      <w:color w:val="0F4761" w:themeColor="accent1" w:themeShade="BF"/>
    </w:rPr>
  </w:style>
  <w:style w:type="paragraph" w:styleId="IntenseQuote">
    <w:name w:val="Intense Quote"/>
    <w:basedOn w:val="Normal"/>
    <w:next w:val="Normal"/>
    <w:link w:val="IntenseQuoteChar"/>
    <w:uiPriority w:val="30"/>
    <w:qFormat/>
    <w:rsid w:val="000573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7362"/>
    <w:rPr>
      <w:i/>
      <w:iCs/>
      <w:color w:val="0F4761" w:themeColor="accent1" w:themeShade="BF"/>
    </w:rPr>
  </w:style>
  <w:style w:type="character" w:styleId="IntenseReference">
    <w:name w:val="Intense Reference"/>
    <w:basedOn w:val="DefaultParagraphFont"/>
    <w:uiPriority w:val="32"/>
    <w:qFormat/>
    <w:rsid w:val="00057362"/>
    <w:rPr>
      <w:b/>
      <w:bCs/>
      <w:smallCaps/>
      <w:color w:val="0F4761" w:themeColor="accent1" w:themeShade="BF"/>
      <w:spacing w:val="5"/>
    </w:rPr>
  </w:style>
  <w:style w:type="paragraph" w:styleId="FootnoteText">
    <w:name w:val="footnote text"/>
    <w:basedOn w:val="Normal"/>
    <w:link w:val="FootnoteTextChar"/>
    <w:uiPriority w:val="99"/>
    <w:semiHidden/>
    <w:unhideWhenUsed/>
    <w:rsid w:val="0005736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57362"/>
    <w:rPr>
      <w:sz w:val="20"/>
      <w:szCs w:val="20"/>
    </w:rPr>
  </w:style>
  <w:style w:type="character" w:styleId="FootnoteReference">
    <w:name w:val="footnote reference"/>
    <w:basedOn w:val="DefaultParagraphFont"/>
    <w:uiPriority w:val="99"/>
    <w:semiHidden/>
    <w:unhideWhenUsed/>
    <w:rsid w:val="00057362"/>
    <w:rPr>
      <w:vertAlign w:val="superscript"/>
    </w:rPr>
  </w:style>
  <w:style w:type="paragraph" w:styleId="NormalWeb">
    <w:name w:val="Normal (Web)"/>
    <w:basedOn w:val="Normal"/>
    <w:uiPriority w:val="99"/>
    <w:semiHidden/>
    <w:unhideWhenUsed/>
    <w:rsid w:val="002553BC"/>
    <w:rPr>
      <w:rFonts w:ascii="Times New Roman" w:hAnsi="Times New Roman" w:cs="Times New Roman"/>
    </w:rPr>
  </w:style>
  <w:style w:type="character" w:styleId="Hyperlink">
    <w:name w:val="Hyperlink"/>
    <w:basedOn w:val="DefaultParagraphFont"/>
    <w:uiPriority w:val="99"/>
    <w:unhideWhenUsed/>
    <w:rsid w:val="0053237E"/>
    <w:rPr>
      <w:color w:val="467886" w:themeColor="hyperlink"/>
      <w:u w:val="single"/>
    </w:rPr>
  </w:style>
  <w:style w:type="character" w:styleId="UnresolvedMention">
    <w:name w:val="Unresolved Mention"/>
    <w:basedOn w:val="DefaultParagraphFont"/>
    <w:uiPriority w:val="99"/>
    <w:semiHidden/>
    <w:unhideWhenUsed/>
    <w:rsid w:val="005323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il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ADE5D8-62E7-477F-A37E-E28F3F708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2622</Words>
  <Characters>14951</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Aditya Thakur</dc:creator>
  <cp:keywords/>
  <dc:description/>
  <cp:lastModifiedBy>Aditya Thakur</cp:lastModifiedBy>
  <cp:revision>2</cp:revision>
  <dcterms:created xsi:type="dcterms:W3CDTF">2026-03-05T18:05:00Z</dcterms:created>
  <dcterms:modified xsi:type="dcterms:W3CDTF">2026-03-05T18:05:00Z</dcterms:modified>
</cp:coreProperties>
</file>