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D4DC8" w14:textId="77777777" w:rsidR="00DB2A52" w:rsidRPr="00680249" w:rsidRDefault="00DB2A52" w:rsidP="00680249">
      <w:pPr>
        <w:spacing w:after="0" w:line="360" w:lineRule="auto"/>
        <w:jc w:val="both"/>
        <w:rPr>
          <w:rFonts w:ascii="Times New Roman" w:hAnsi="Times New Roman" w:cs="Times New Roman"/>
          <w:bCs/>
          <w:sz w:val="24"/>
          <w:szCs w:val="24"/>
          <w:u w:val="single"/>
        </w:rPr>
      </w:pPr>
    </w:p>
    <w:p w14:paraId="5C4D633C" w14:textId="20320F41" w:rsidR="009041B0" w:rsidRDefault="0007331A" w:rsidP="00AA548D">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w:t>
      </w:r>
      <w:r w:rsidR="002B257D" w:rsidRPr="00680249">
        <w:rPr>
          <w:rFonts w:ascii="Times New Roman" w:hAnsi="Times New Roman" w:cs="Times New Roman"/>
          <w:b/>
          <w:sz w:val="24"/>
          <w:szCs w:val="24"/>
        </w:rPr>
        <w:t>Diksha Dabas</w:t>
      </w:r>
      <w:r w:rsidR="002B257D" w:rsidRPr="00680249">
        <w:rPr>
          <w:rStyle w:val="FootnoteReference"/>
          <w:rFonts w:ascii="Times New Roman" w:hAnsi="Times New Roman" w:cs="Times New Roman"/>
          <w:bCs/>
          <w:sz w:val="24"/>
          <w:szCs w:val="24"/>
        </w:rPr>
        <w:footnoteReference w:id="1"/>
      </w:r>
    </w:p>
    <w:p w14:paraId="6B6F197F" w14:textId="77777777" w:rsidR="0007331A" w:rsidRPr="00AA548D" w:rsidRDefault="0007331A" w:rsidP="00AA548D">
      <w:pPr>
        <w:spacing w:after="0" w:line="360" w:lineRule="auto"/>
        <w:jc w:val="center"/>
        <w:rPr>
          <w:rFonts w:ascii="Times New Roman" w:hAnsi="Times New Roman" w:cs="Times New Roman"/>
          <w:b/>
          <w:sz w:val="24"/>
          <w:szCs w:val="24"/>
        </w:rPr>
      </w:pPr>
    </w:p>
    <w:p w14:paraId="67E82AEA" w14:textId="362D9AA2" w:rsidR="002B257D" w:rsidRPr="00680249" w:rsidRDefault="007C6672" w:rsidP="00AA548D">
      <w:pPr>
        <w:spacing w:after="0" w:line="360" w:lineRule="auto"/>
        <w:jc w:val="center"/>
        <w:rPr>
          <w:rFonts w:ascii="Times New Roman" w:hAnsi="Times New Roman" w:cs="Times New Roman"/>
          <w:b/>
          <w:sz w:val="24"/>
          <w:szCs w:val="24"/>
        </w:rPr>
      </w:pPr>
      <w:r w:rsidRPr="00680249">
        <w:rPr>
          <w:rFonts w:ascii="Times New Roman" w:eastAsia="Times New Roman" w:hAnsi="Times New Roman" w:cs="Times New Roman"/>
          <w:b/>
          <w:sz w:val="24"/>
          <w:szCs w:val="24"/>
        </w:rPr>
        <w:t>FORMAL EQUALITY AND SUBSTANTIVE INEQUALITY UNDER THE NEW LABOUR CODES OF INDIA</w:t>
      </w:r>
    </w:p>
    <w:p w14:paraId="681C8BAE" w14:textId="77777777" w:rsidR="009041B0" w:rsidRDefault="009041B0" w:rsidP="00680249">
      <w:pPr>
        <w:spacing w:after="0" w:line="360" w:lineRule="auto"/>
        <w:jc w:val="both"/>
        <w:rPr>
          <w:rFonts w:ascii="Times New Roman" w:eastAsia="Times New Roman" w:hAnsi="Times New Roman" w:cs="Times New Roman"/>
          <w:b/>
          <w:sz w:val="24"/>
          <w:szCs w:val="24"/>
        </w:rPr>
      </w:pPr>
    </w:p>
    <w:p w14:paraId="50C33D41" w14:textId="01C47080" w:rsidR="002B257D" w:rsidRPr="00680249" w:rsidRDefault="002B257D" w:rsidP="00680249">
      <w:pPr>
        <w:spacing w:after="0" w:line="360" w:lineRule="auto"/>
        <w:jc w:val="both"/>
        <w:rPr>
          <w:rFonts w:ascii="Times New Roman" w:hAnsi="Times New Roman" w:cs="Times New Roman"/>
          <w:bCs/>
          <w:sz w:val="24"/>
          <w:szCs w:val="24"/>
        </w:rPr>
      </w:pPr>
      <w:r w:rsidRPr="00680249">
        <w:rPr>
          <w:rFonts w:ascii="Times New Roman" w:eastAsia="Times New Roman" w:hAnsi="Times New Roman" w:cs="Times New Roman"/>
          <w:b/>
          <w:sz w:val="24"/>
          <w:szCs w:val="24"/>
        </w:rPr>
        <w:t>Keywords</w:t>
      </w:r>
      <w:r w:rsidRPr="00680249">
        <w:rPr>
          <w:rFonts w:ascii="Times New Roman" w:eastAsia="Times New Roman" w:hAnsi="Times New Roman" w:cs="Times New Roman"/>
          <w:bCs/>
          <w:sz w:val="24"/>
          <w:szCs w:val="24"/>
        </w:rPr>
        <w:t xml:space="preserve">: Substantive Equality; Gender Justice; Indian </w:t>
      </w:r>
      <w:proofErr w:type="spellStart"/>
      <w:r w:rsidRPr="00680249">
        <w:rPr>
          <w:rFonts w:ascii="Times New Roman" w:eastAsia="Times New Roman" w:hAnsi="Times New Roman" w:cs="Times New Roman"/>
          <w:bCs/>
          <w:sz w:val="24"/>
          <w:szCs w:val="24"/>
        </w:rPr>
        <w:t>Labour</w:t>
      </w:r>
      <w:proofErr w:type="spellEnd"/>
      <w:r w:rsidRPr="00680249">
        <w:rPr>
          <w:rFonts w:ascii="Times New Roman" w:eastAsia="Times New Roman" w:hAnsi="Times New Roman" w:cs="Times New Roman"/>
          <w:bCs/>
          <w:sz w:val="24"/>
          <w:szCs w:val="24"/>
        </w:rPr>
        <w:t xml:space="preserve"> Codes; Feminist Constitutionalism.</w:t>
      </w:r>
    </w:p>
    <w:p w14:paraId="37DDF3D8" w14:textId="2A27805C" w:rsidR="007C6672" w:rsidRPr="007C6672" w:rsidRDefault="007C6672" w:rsidP="00680249">
      <w:pPr>
        <w:spacing w:after="0" w:line="360" w:lineRule="auto"/>
        <w:jc w:val="both"/>
        <w:rPr>
          <w:rFonts w:ascii="Times New Roman" w:hAnsi="Times New Roman" w:cs="Times New Roman"/>
          <w:b/>
          <w:sz w:val="24"/>
          <w:szCs w:val="24"/>
        </w:rPr>
      </w:pPr>
      <w:r w:rsidRPr="007C6672">
        <w:rPr>
          <w:rFonts w:ascii="Times New Roman" w:hAnsi="Times New Roman" w:cs="Times New Roman"/>
          <w:b/>
          <w:sz w:val="24"/>
          <w:szCs w:val="24"/>
        </w:rPr>
        <w:t>ABSTRACT</w:t>
      </w:r>
    </w:p>
    <w:p w14:paraId="6D11D62E" w14:textId="08F8478F" w:rsidR="002B257D" w:rsidRPr="00680249" w:rsidRDefault="00506E78" w:rsidP="00680249">
      <w:pPr>
        <w:spacing w:after="0" w:line="360" w:lineRule="auto"/>
        <w:jc w:val="both"/>
        <w:rPr>
          <w:rFonts w:ascii="Times New Roman" w:hAnsi="Times New Roman" w:cs="Times New Roman"/>
          <w:bCs/>
          <w:sz w:val="24"/>
          <w:szCs w:val="24"/>
        </w:rPr>
      </w:pPr>
      <w:r w:rsidRPr="00680249">
        <w:rPr>
          <w:rFonts w:ascii="Times New Roman" w:hAnsi="Times New Roman" w:cs="Times New Roman"/>
          <w:bCs/>
          <w:sz w:val="24"/>
          <w:szCs w:val="24"/>
        </w:rPr>
        <w:t>This paper argues</w:t>
      </w:r>
      <w:r w:rsidR="002B257D" w:rsidRPr="00680249">
        <w:rPr>
          <w:rFonts w:ascii="Times New Roman" w:hAnsi="Times New Roman" w:cs="Times New Roman"/>
          <w:bCs/>
          <w:sz w:val="24"/>
          <w:szCs w:val="24"/>
        </w:rPr>
        <w:t>,</w:t>
      </w:r>
      <w:r w:rsidRPr="00680249">
        <w:rPr>
          <w:rFonts w:ascii="Times New Roman" w:hAnsi="Times New Roman" w:cs="Times New Roman"/>
          <w:bCs/>
          <w:sz w:val="24"/>
          <w:szCs w:val="24"/>
        </w:rPr>
        <w:t xml:space="preserve"> that</w:t>
      </w:r>
      <w:r w:rsidR="002B257D" w:rsidRPr="00680249">
        <w:rPr>
          <w:rFonts w:ascii="Times New Roman" w:hAnsi="Times New Roman" w:cs="Times New Roman"/>
          <w:bCs/>
          <w:sz w:val="24"/>
          <w:szCs w:val="24"/>
        </w:rPr>
        <w:t xml:space="preserve"> the report critically discusses the relationship of formal equality and substantive inequality in relation to gender justice and human rights issues with the new </w:t>
      </w:r>
      <w:proofErr w:type="spellStart"/>
      <w:r w:rsidR="002B257D" w:rsidRPr="00680249">
        <w:rPr>
          <w:rFonts w:ascii="Times New Roman" w:hAnsi="Times New Roman" w:cs="Times New Roman"/>
          <w:bCs/>
          <w:sz w:val="24"/>
          <w:szCs w:val="24"/>
        </w:rPr>
        <w:t>labour</w:t>
      </w:r>
      <w:proofErr w:type="spellEnd"/>
      <w:r w:rsidR="002B257D" w:rsidRPr="00680249">
        <w:rPr>
          <w:rFonts w:ascii="Times New Roman" w:hAnsi="Times New Roman" w:cs="Times New Roman"/>
          <w:bCs/>
          <w:sz w:val="24"/>
          <w:szCs w:val="24"/>
        </w:rPr>
        <w:t xml:space="preserve"> codes of India. It critically examines the theoretical basis of equality, the practical effects of the recent </w:t>
      </w:r>
      <w:proofErr w:type="spellStart"/>
      <w:r w:rsidR="002B257D" w:rsidRPr="00680249">
        <w:rPr>
          <w:rFonts w:ascii="Times New Roman" w:hAnsi="Times New Roman" w:cs="Times New Roman"/>
          <w:bCs/>
          <w:sz w:val="24"/>
          <w:szCs w:val="24"/>
        </w:rPr>
        <w:t>labour</w:t>
      </w:r>
      <w:proofErr w:type="spellEnd"/>
      <w:r w:rsidR="002B257D" w:rsidRPr="00680249">
        <w:rPr>
          <w:rFonts w:ascii="Times New Roman" w:hAnsi="Times New Roman" w:cs="Times New Roman"/>
          <w:bCs/>
          <w:sz w:val="24"/>
          <w:szCs w:val="24"/>
        </w:rPr>
        <w:t xml:space="preserve"> reforms, and whether they adhered to the constitutional and international human rights standards, especially to Articles 14, 15(3) and 21 of the Constitution of India. It defines the difference between formal and substantive equality as well as asserts that formal equality has been ineffective since it only parallels people before the law without dealing with structural inequalities that reinforce the gender imbalance. In its turn</w:t>
      </w:r>
      <w:r w:rsidR="000E4A73" w:rsidRPr="00680249">
        <w:rPr>
          <w:rFonts w:ascii="Times New Roman" w:hAnsi="Times New Roman" w:cs="Times New Roman"/>
          <w:bCs/>
          <w:sz w:val="24"/>
          <w:szCs w:val="24"/>
        </w:rPr>
        <w:t>,</w:t>
      </w:r>
      <w:r w:rsidR="002B257D" w:rsidRPr="00680249">
        <w:rPr>
          <w:rFonts w:ascii="Times New Roman" w:hAnsi="Times New Roman" w:cs="Times New Roman"/>
          <w:bCs/>
          <w:sz w:val="24"/>
          <w:szCs w:val="24"/>
        </w:rPr>
        <w:t xml:space="preserve"> the concept of substantive equality aims at overcoming these latent inequalities by acknowledging socio-economic disadvantages and implementing active steps towards eradicating systemic barriers.</w:t>
      </w:r>
    </w:p>
    <w:p w14:paraId="60528E4E" w14:textId="3EAF3332" w:rsidR="002B257D" w:rsidRPr="00680249" w:rsidRDefault="002B257D" w:rsidP="00680249">
      <w:pPr>
        <w:spacing w:after="0" w:line="360" w:lineRule="auto"/>
        <w:jc w:val="both"/>
        <w:rPr>
          <w:rFonts w:ascii="Times New Roman" w:hAnsi="Times New Roman" w:cs="Times New Roman"/>
          <w:bCs/>
          <w:sz w:val="24"/>
          <w:szCs w:val="24"/>
        </w:rPr>
      </w:pPr>
      <w:r w:rsidRPr="00680249">
        <w:rPr>
          <w:rFonts w:ascii="Times New Roman" w:hAnsi="Times New Roman" w:cs="Times New Roman"/>
          <w:bCs/>
          <w:sz w:val="24"/>
          <w:szCs w:val="24"/>
        </w:rPr>
        <w:t xml:space="preserve">The report continues to examine the four unified </w:t>
      </w:r>
      <w:proofErr w:type="spellStart"/>
      <w:r w:rsidRPr="00680249">
        <w:rPr>
          <w:rFonts w:ascii="Times New Roman" w:hAnsi="Times New Roman" w:cs="Times New Roman"/>
          <w:bCs/>
          <w:sz w:val="24"/>
          <w:szCs w:val="24"/>
        </w:rPr>
        <w:t>labour</w:t>
      </w:r>
      <w:proofErr w:type="spellEnd"/>
      <w:r w:rsidRPr="00680249">
        <w:rPr>
          <w:rFonts w:ascii="Times New Roman" w:hAnsi="Times New Roman" w:cs="Times New Roman"/>
          <w:bCs/>
          <w:sz w:val="24"/>
          <w:szCs w:val="24"/>
        </w:rPr>
        <w:t xml:space="preserve"> codes adopted in 2019</w:t>
      </w:r>
      <w:r w:rsidR="000E4A73" w:rsidRPr="00680249">
        <w:rPr>
          <w:rFonts w:ascii="Times New Roman" w:hAnsi="Times New Roman" w:cs="Times New Roman"/>
          <w:bCs/>
          <w:sz w:val="24"/>
          <w:szCs w:val="24"/>
        </w:rPr>
        <w:t>-</w:t>
      </w:r>
      <w:r w:rsidRPr="00680249">
        <w:rPr>
          <w:rFonts w:ascii="Times New Roman" w:hAnsi="Times New Roman" w:cs="Times New Roman"/>
          <w:bCs/>
          <w:sz w:val="24"/>
          <w:szCs w:val="24"/>
        </w:rPr>
        <w:t xml:space="preserve">2020 which are expected to streamline the </w:t>
      </w:r>
      <w:proofErr w:type="spellStart"/>
      <w:r w:rsidRPr="00680249">
        <w:rPr>
          <w:rFonts w:ascii="Times New Roman" w:hAnsi="Times New Roman" w:cs="Times New Roman"/>
          <w:bCs/>
          <w:sz w:val="24"/>
          <w:szCs w:val="24"/>
        </w:rPr>
        <w:t>labour</w:t>
      </w:r>
      <w:proofErr w:type="spellEnd"/>
      <w:r w:rsidRPr="00680249">
        <w:rPr>
          <w:rFonts w:ascii="Times New Roman" w:hAnsi="Times New Roman" w:cs="Times New Roman"/>
          <w:bCs/>
          <w:sz w:val="24"/>
          <w:szCs w:val="24"/>
        </w:rPr>
        <w:t xml:space="preserve"> laws to improve the growth rate and gender inclusiveness. The aim of the reforms may seem to improve the equal </w:t>
      </w:r>
      <w:r w:rsidR="00AD192A" w:rsidRPr="00680249">
        <w:rPr>
          <w:rFonts w:ascii="Times New Roman" w:hAnsi="Times New Roman" w:cs="Times New Roman"/>
          <w:bCs/>
          <w:sz w:val="24"/>
          <w:szCs w:val="24"/>
        </w:rPr>
        <w:t>participation;</w:t>
      </w:r>
      <w:r w:rsidRPr="00680249">
        <w:rPr>
          <w:rFonts w:ascii="Times New Roman" w:hAnsi="Times New Roman" w:cs="Times New Roman"/>
          <w:bCs/>
          <w:sz w:val="24"/>
          <w:szCs w:val="24"/>
        </w:rPr>
        <w:t xml:space="preserve"> </w:t>
      </w:r>
      <w:r w:rsidR="00456EC2" w:rsidRPr="00680249">
        <w:rPr>
          <w:rFonts w:ascii="Times New Roman" w:hAnsi="Times New Roman" w:cs="Times New Roman"/>
          <w:bCs/>
          <w:sz w:val="24"/>
          <w:szCs w:val="24"/>
        </w:rPr>
        <w:t>however,</w:t>
      </w:r>
      <w:r w:rsidR="00B772E5" w:rsidRPr="00680249">
        <w:rPr>
          <w:rFonts w:ascii="Times New Roman" w:hAnsi="Times New Roman" w:cs="Times New Roman"/>
          <w:bCs/>
          <w:sz w:val="24"/>
          <w:szCs w:val="24"/>
        </w:rPr>
        <w:t xml:space="preserve"> </w:t>
      </w:r>
      <w:r w:rsidRPr="00680249">
        <w:rPr>
          <w:rFonts w:ascii="Times New Roman" w:hAnsi="Times New Roman" w:cs="Times New Roman"/>
          <w:bCs/>
          <w:sz w:val="24"/>
          <w:szCs w:val="24"/>
        </w:rPr>
        <w:t xml:space="preserve">the study argues these reforms are not sufficient in addressing structural imbalances encountered by women in the </w:t>
      </w:r>
      <w:proofErr w:type="spellStart"/>
      <w:r w:rsidRPr="00680249">
        <w:rPr>
          <w:rFonts w:ascii="Times New Roman" w:hAnsi="Times New Roman" w:cs="Times New Roman"/>
          <w:bCs/>
          <w:sz w:val="24"/>
          <w:szCs w:val="24"/>
        </w:rPr>
        <w:t>labour</w:t>
      </w:r>
      <w:proofErr w:type="spellEnd"/>
      <w:r w:rsidRPr="00680249">
        <w:rPr>
          <w:rFonts w:ascii="Times New Roman" w:hAnsi="Times New Roman" w:cs="Times New Roman"/>
          <w:bCs/>
          <w:sz w:val="24"/>
          <w:szCs w:val="24"/>
        </w:rPr>
        <w:t xml:space="preserve"> market despite the provisions present in them. Women are still faced with systemic discrimination such as lack of equal opportunities, absence of wage differences, segregation in occupations, undue caring workloads, and lack of protection in informal and precarious work.</w:t>
      </w:r>
    </w:p>
    <w:p w14:paraId="5A2A403E" w14:textId="77777777" w:rsidR="002B257D" w:rsidRPr="00680249" w:rsidRDefault="002B257D" w:rsidP="00680249">
      <w:pPr>
        <w:spacing w:after="0" w:line="360" w:lineRule="auto"/>
        <w:jc w:val="both"/>
        <w:rPr>
          <w:rFonts w:ascii="Times New Roman" w:hAnsi="Times New Roman" w:cs="Times New Roman"/>
          <w:bCs/>
          <w:sz w:val="24"/>
          <w:szCs w:val="24"/>
        </w:rPr>
      </w:pPr>
      <w:r w:rsidRPr="00680249">
        <w:rPr>
          <w:rFonts w:ascii="Times New Roman" w:hAnsi="Times New Roman" w:cs="Times New Roman"/>
          <w:bCs/>
          <w:sz w:val="24"/>
          <w:szCs w:val="24"/>
        </w:rPr>
        <w:t xml:space="preserve">The report argues on the basis of the human rights approach based on substantive equality and feminist constitutionalism that the tension between formal equality in </w:t>
      </w:r>
      <w:proofErr w:type="spellStart"/>
      <w:r w:rsidRPr="00680249">
        <w:rPr>
          <w:rFonts w:ascii="Times New Roman" w:hAnsi="Times New Roman" w:cs="Times New Roman"/>
          <w:bCs/>
          <w:sz w:val="24"/>
          <w:szCs w:val="24"/>
        </w:rPr>
        <w:t>labour</w:t>
      </w:r>
      <w:proofErr w:type="spellEnd"/>
      <w:r w:rsidRPr="00680249">
        <w:rPr>
          <w:rFonts w:ascii="Times New Roman" w:hAnsi="Times New Roman" w:cs="Times New Roman"/>
          <w:bCs/>
          <w:sz w:val="24"/>
          <w:szCs w:val="24"/>
        </w:rPr>
        <w:t xml:space="preserve"> legislation and ongoing substantive inequality demands that the principles of substantive equality be </w:t>
      </w:r>
      <w:proofErr w:type="spellStart"/>
      <w:r w:rsidRPr="00680249">
        <w:rPr>
          <w:rFonts w:ascii="Times New Roman" w:hAnsi="Times New Roman" w:cs="Times New Roman"/>
          <w:bCs/>
          <w:sz w:val="24"/>
          <w:szCs w:val="24"/>
        </w:rPr>
        <w:t>realised</w:t>
      </w:r>
      <w:proofErr w:type="spellEnd"/>
      <w:r w:rsidRPr="00680249">
        <w:rPr>
          <w:rFonts w:ascii="Times New Roman" w:hAnsi="Times New Roman" w:cs="Times New Roman"/>
          <w:bCs/>
          <w:sz w:val="24"/>
          <w:szCs w:val="24"/>
        </w:rPr>
        <w:t xml:space="preserve"> in </w:t>
      </w:r>
      <w:proofErr w:type="spellStart"/>
      <w:r w:rsidRPr="00680249">
        <w:rPr>
          <w:rFonts w:ascii="Times New Roman" w:hAnsi="Times New Roman" w:cs="Times New Roman"/>
          <w:bCs/>
          <w:sz w:val="24"/>
          <w:szCs w:val="24"/>
        </w:rPr>
        <w:t>labour</w:t>
      </w:r>
      <w:proofErr w:type="spellEnd"/>
      <w:r w:rsidRPr="00680249">
        <w:rPr>
          <w:rFonts w:ascii="Times New Roman" w:hAnsi="Times New Roman" w:cs="Times New Roman"/>
          <w:bCs/>
          <w:sz w:val="24"/>
          <w:szCs w:val="24"/>
        </w:rPr>
        <w:t xml:space="preserve"> governance in India.</w:t>
      </w:r>
    </w:p>
    <w:p w14:paraId="21EF78AC" w14:textId="6039762F" w:rsidR="006405D5" w:rsidRPr="00680249" w:rsidRDefault="006405D5" w:rsidP="00680249">
      <w:pPr>
        <w:spacing w:after="0" w:line="360" w:lineRule="auto"/>
        <w:jc w:val="both"/>
        <w:rPr>
          <w:rFonts w:ascii="Times New Roman" w:hAnsi="Times New Roman" w:cs="Times New Roman"/>
          <w:bCs/>
          <w:sz w:val="24"/>
          <w:szCs w:val="24"/>
        </w:rPr>
      </w:pPr>
      <w:r w:rsidRPr="00680249">
        <w:rPr>
          <w:rFonts w:ascii="Times New Roman" w:hAnsi="Times New Roman" w:cs="Times New Roman"/>
          <w:bCs/>
          <w:sz w:val="24"/>
          <w:szCs w:val="24"/>
        </w:rPr>
        <w:br w:type="page"/>
      </w:r>
    </w:p>
    <w:p w14:paraId="3B4FA1F0" w14:textId="1318D8D6" w:rsidR="00556474" w:rsidRPr="00680249" w:rsidRDefault="00075611" w:rsidP="00680249">
      <w:pPr>
        <w:spacing w:before="100" w:beforeAutospacing="1" w:after="0" w:line="360" w:lineRule="auto"/>
        <w:jc w:val="both"/>
        <w:outlineLvl w:val="0"/>
        <w:rPr>
          <w:rFonts w:ascii="Times New Roman" w:eastAsia="Times New Roman" w:hAnsi="Times New Roman" w:cs="Times New Roman"/>
          <w:b/>
          <w:color w:val="000000"/>
          <w:kern w:val="36"/>
          <w:sz w:val="24"/>
          <w:szCs w:val="24"/>
          <w:lang w:val="en-IN" w:eastAsia="en-GB"/>
        </w:rPr>
      </w:pPr>
      <w:r w:rsidRPr="00680249">
        <w:rPr>
          <w:rFonts w:ascii="Times New Roman" w:eastAsia="Times New Roman" w:hAnsi="Times New Roman" w:cs="Times New Roman"/>
          <w:b/>
          <w:color w:val="000000"/>
          <w:kern w:val="36"/>
          <w:sz w:val="24"/>
          <w:szCs w:val="24"/>
          <w:lang w:val="en-IN" w:eastAsia="en-GB"/>
        </w:rPr>
        <w:lastRenderedPageBreak/>
        <w:t xml:space="preserve">I. </w:t>
      </w:r>
      <w:r w:rsidR="000C656B" w:rsidRPr="00680249">
        <w:rPr>
          <w:rFonts w:ascii="Times New Roman" w:eastAsia="Times New Roman" w:hAnsi="Times New Roman" w:cs="Times New Roman"/>
          <w:b/>
          <w:color w:val="000000"/>
          <w:kern w:val="36"/>
          <w:sz w:val="24"/>
          <w:szCs w:val="24"/>
          <w:lang w:val="en-IN" w:eastAsia="en-GB"/>
        </w:rPr>
        <w:t>INTRODUCTION</w:t>
      </w:r>
    </w:p>
    <w:p w14:paraId="3259F68D" w14:textId="3A3F4532" w:rsidR="00D94FA0" w:rsidRPr="00680249" w:rsidRDefault="00D92425" w:rsidP="00680249">
      <w:pPr>
        <w:spacing w:after="0" w:line="360" w:lineRule="auto"/>
        <w:jc w:val="both"/>
        <w:outlineLvl w:val="0"/>
        <w:rPr>
          <w:rFonts w:ascii="Times New Roman" w:eastAsia="Times New Roman" w:hAnsi="Times New Roman" w:cs="Times New Roman"/>
          <w:bCs/>
          <w:color w:val="000000"/>
          <w:kern w:val="36"/>
          <w:sz w:val="24"/>
          <w:szCs w:val="24"/>
          <w:lang w:val="en-IN" w:eastAsia="en-GB"/>
        </w:rPr>
      </w:pPr>
      <w:r w:rsidRPr="00680249">
        <w:rPr>
          <w:rFonts w:ascii="Times New Roman" w:eastAsia="Times New Roman" w:hAnsi="Times New Roman" w:cs="Times New Roman"/>
          <w:bCs/>
          <w:color w:val="000000"/>
          <w:kern w:val="36"/>
          <w:sz w:val="24"/>
          <w:szCs w:val="24"/>
          <w:lang w:val="en-IN" w:eastAsia="en-GB"/>
        </w:rPr>
        <w:t>Equality has long been regarded as a fundamental principle of democratic governance and constitutional legitimacy.</w:t>
      </w:r>
      <w:r w:rsidRPr="00680249">
        <w:rPr>
          <w:rFonts w:ascii="Times New Roman" w:eastAsia="Times New Roman" w:hAnsi="Times New Roman" w:cs="Times New Roman"/>
          <w:bCs/>
          <w:color w:val="000000"/>
          <w:kern w:val="36"/>
          <w:sz w:val="24"/>
          <w:szCs w:val="24"/>
          <w:lang w:val="en-IN" w:eastAsia="en-GB"/>
        </w:rPr>
        <w:t xml:space="preserve"> </w:t>
      </w:r>
      <w:r w:rsidR="00D94FA0" w:rsidRPr="00680249">
        <w:rPr>
          <w:rFonts w:ascii="Times New Roman" w:eastAsia="Times New Roman" w:hAnsi="Times New Roman" w:cs="Times New Roman"/>
          <w:bCs/>
          <w:color w:val="000000"/>
          <w:kern w:val="36"/>
          <w:sz w:val="24"/>
          <w:szCs w:val="24"/>
          <w:lang w:val="en-IN" w:eastAsia="en-GB"/>
        </w:rPr>
        <w:t>The modern system of legislations aims at ensuring equality by promoting non-discrimination, equal protection of the law, and access to non-discriminatory rights and opportunities. This commitment is reflected in the Articles 14, 15 and 16 of the Indian Constitution which together formed the platform of equality before the law and outlawed any form of discrimination based on sex, caste or even religion.</w:t>
      </w:r>
      <w:r w:rsidR="00A15BE4" w:rsidRPr="00680249">
        <w:rPr>
          <w:rStyle w:val="FootnoteReference"/>
          <w:rFonts w:ascii="Times New Roman" w:eastAsia="Times New Roman" w:hAnsi="Times New Roman" w:cs="Times New Roman"/>
          <w:bCs/>
          <w:color w:val="000000"/>
          <w:kern w:val="36"/>
          <w:sz w:val="24"/>
          <w:szCs w:val="24"/>
          <w:lang w:val="en-IN" w:eastAsia="en-GB"/>
        </w:rPr>
        <w:footnoteReference w:id="2"/>
      </w:r>
    </w:p>
    <w:p w14:paraId="40544222" w14:textId="61FBD1D6" w:rsidR="00D94FA0" w:rsidRPr="00680249" w:rsidRDefault="00D94FA0" w:rsidP="00680249">
      <w:pPr>
        <w:spacing w:before="100" w:beforeAutospacing="1" w:after="0" w:line="360" w:lineRule="auto"/>
        <w:jc w:val="both"/>
        <w:outlineLvl w:val="0"/>
        <w:rPr>
          <w:rFonts w:ascii="Times New Roman" w:eastAsia="Times New Roman" w:hAnsi="Times New Roman" w:cs="Times New Roman"/>
          <w:bCs/>
          <w:color w:val="000000"/>
          <w:kern w:val="36"/>
          <w:sz w:val="24"/>
          <w:szCs w:val="24"/>
          <w:lang w:val="en-IN" w:eastAsia="en-GB"/>
        </w:rPr>
      </w:pPr>
      <w:r w:rsidRPr="00680249">
        <w:rPr>
          <w:rFonts w:ascii="Times New Roman" w:eastAsia="Times New Roman" w:hAnsi="Times New Roman" w:cs="Times New Roman"/>
          <w:bCs/>
          <w:color w:val="000000"/>
          <w:kern w:val="36"/>
          <w:sz w:val="24"/>
          <w:szCs w:val="24"/>
          <w:lang w:val="en-IN" w:eastAsia="en-GB"/>
        </w:rPr>
        <w:t>Nevertheless, the achievement of equality in the socio-economic structures is a complex issue. Although the principle of formal equality, where people with similarly situated cases are treated in the same way, is often embraced by the law systems, this method can never resolve the structural inequalities that are firmly embedded within the system. The existence of these inequalities is especially apparent in labour markets where gender, caste, and socio-economic status still determine the access to work, the price of work, and workplace safety.</w:t>
      </w:r>
      <w:r w:rsidR="005561C4" w:rsidRPr="00680249">
        <w:rPr>
          <w:rStyle w:val="FootnoteReference"/>
          <w:rFonts w:ascii="Times New Roman" w:eastAsia="Times New Roman" w:hAnsi="Times New Roman" w:cs="Times New Roman"/>
          <w:bCs/>
          <w:color w:val="000000"/>
          <w:kern w:val="36"/>
          <w:sz w:val="24"/>
          <w:szCs w:val="24"/>
          <w:lang w:val="en-IN" w:eastAsia="en-GB"/>
        </w:rPr>
        <w:footnoteReference w:id="3"/>
      </w:r>
    </w:p>
    <w:p w14:paraId="7B79F40E" w14:textId="73CD8895" w:rsidR="00D94FA0" w:rsidRPr="00680249" w:rsidRDefault="00D94FA0" w:rsidP="00680249">
      <w:pPr>
        <w:spacing w:before="100" w:beforeAutospacing="1" w:after="0" w:line="360" w:lineRule="auto"/>
        <w:jc w:val="both"/>
        <w:outlineLvl w:val="0"/>
        <w:rPr>
          <w:rFonts w:ascii="Times New Roman" w:eastAsia="Times New Roman" w:hAnsi="Times New Roman" w:cs="Times New Roman"/>
          <w:bCs/>
          <w:color w:val="000000"/>
          <w:kern w:val="36"/>
          <w:sz w:val="24"/>
          <w:szCs w:val="24"/>
          <w:lang w:val="en-IN" w:eastAsia="en-GB"/>
        </w:rPr>
      </w:pPr>
      <w:r w:rsidRPr="00680249">
        <w:rPr>
          <w:rFonts w:ascii="Times New Roman" w:eastAsia="Times New Roman" w:hAnsi="Times New Roman" w:cs="Times New Roman"/>
          <w:bCs/>
          <w:color w:val="000000"/>
          <w:kern w:val="36"/>
          <w:sz w:val="24"/>
          <w:szCs w:val="24"/>
          <w:lang w:val="en-IN" w:eastAsia="en-GB"/>
        </w:rPr>
        <w:t>The labour force participation of women is lower than that of men and the women workers are left in the informal and precarious jobs.</w:t>
      </w:r>
      <w:r w:rsidR="00A65F01" w:rsidRPr="00680249">
        <w:rPr>
          <w:rStyle w:val="FootnoteReference"/>
          <w:rFonts w:ascii="Times New Roman" w:eastAsia="Times New Roman" w:hAnsi="Times New Roman" w:cs="Times New Roman"/>
          <w:bCs/>
          <w:color w:val="000000"/>
          <w:kern w:val="36"/>
          <w:sz w:val="24"/>
          <w:szCs w:val="24"/>
          <w:lang w:val="en-IN" w:eastAsia="en-GB"/>
        </w:rPr>
        <w:footnoteReference w:id="4"/>
      </w:r>
      <w:r w:rsidR="00515108" w:rsidRPr="00680249">
        <w:rPr>
          <w:rFonts w:ascii="Times New Roman" w:eastAsia="Times New Roman" w:hAnsi="Times New Roman" w:cs="Times New Roman"/>
          <w:bCs/>
          <w:color w:val="000000"/>
          <w:kern w:val="36"/>
          <w:sz w:val="24"/>
          <w:szCs w:val="24"/>
          <w:lang w:val="en-IN" w:eastAsia="en-GB"/>
        </w:rPr>
        <w:t xml:space="preserve"> </w:t>
      </w:r>
      <w:r w:rsidRPr="00680249">
        <w:rPr>
          <w:rFonts w:ascii="Times New Roman" w:eastAsia="Times New Roman" w:hAnsi="Times New Roman" w:cs="Times New Roman"/>
          <w:bCs/>
          <w:color w:val="000000"/>
          <w:kern w:val="36"/>
          <w:sz w:val="24"/>
          <w:szCs w:val="24"/>
          <w:lang w:val="en-IN" w:eastAsia="en-GB"/>
        </w:rPr>
        <w:t>Structural constraints- such as unpaid care duties, safety issues, and biased employment- still restricts the women</w:t>
      </w:r>
      <w:r w:rsidR="00B634B8" w:rsidRPr="00680249">
        <w:rPr>
          <w:rFonts w:ascii="Times New Roman" w:eastAsia="Times New Roman" w:hAnsi="Times New Roman" w:cs="Times New Roman"/>
          <w:bCs/>
          <w:color w:val="000000"/>
          <w:kern w:val="36"/>
          <w:sz w:val="24"/>
          <w:szCs w:val="24"/>
          <w:lang w:val="en-IN" w:eastAsia="en-GB"/>
        </w:rPr>
        <w:t>’s</w:t>
      </w:r>
      <w:r w:rsidRPr="00680249">
        <w:rPr>
          <w:rFonts w:ascii="Times New Roman" w:eastAsia="Times New Roman" w:hAnsi="Times New Roman" w:cs="Times New Roman"/>
          <w:bCs/>
          <w:color w:val="000000"/>
          <w:kern w:val="36"/>
          <w:sz w:val="24"/>
          <w:szCs w:val="24"/>
          <w:lang w:val="en-IN" w:eastAsia="en-GB"/>
        </w:rPr>
        <w:t xml:space="preserve"> economic </w:t>
      </w:r>
      <w:r w:rsidR="00B634B8" w:rsidRPr="00680249">
        <w:rPr>
          <w:rFonts w:ascii="Times New Roman" w:eastAsia="Times New Roman" w:hAnsi="Times New Roman" w:cs="Times New Roman"/>
          <w:bCs/>
          <w:color w:val="000000"/>
          <w:kern w:val="36"/>
          <w:sz w:val="24"/>
          <w:szCs w:val="24"/>
          <w:lang w:val="en-IN" w:eastAsia="en-GB"/>
        </w:rPr>
        <w:t>participation</w:t>
      </w:r>
      <w:r w:rsidRPr="00680249">
        <w:rPr>
          <w:rFonts w:ascii="Times New Roman" w:eastAsia="Times New Roman" w:hAnsi="Times New Roman" w:cs="Times New Roman"/>
          <w:bCs/>
          <w:color w:val="000000"/>
          <w:kern w:val="36"/>
          <w:sz w:val="24"/>
          <w:szCs w:val="24"/>
          <w:lang w:val="en-IN" w:eastAsia="en-GB"/>
        </w:rPr>
        <w:t>.</w:t>
      </w:r>
    </w:p>
    <w:p w14:paraId="1094B7E6" w14:textId="0056818D" w:rsidR="00D94FA0" w:rsidRPr="00680249" w:rsidRDefault="00D94FA0" w:rsidP="00680249">
      <w:pPr>
        <w:spacing w:before="100" w:beforeAutospacing="1" w:after="0" w:line="360" w:lineRule="auto"/>
        <w:jc w:val="both"/>
        <w:outlineLvl w:val="0"/>
        <w:rPr>
          <w:rFonts w:ascii="Times New Roman" w:eastAsia="Times New Roman" w:hAnsi="Times New Roman" w:cs="Times New Roman"/>
          <w:bCs/>
          <w:color w:val="000000"/>
          <w:kern w:val="36"/>
          <w:sz w:val="24"/>
          <w:szCs w:val="24"/>
          <w:lang w:val="en-IN" w:eastAsia="en-GB"/>
        </w:rPr>
      </w:pPr>
      <w:r w:rsidRPr="00680249">
        <w:rPr>
          <w:rFonts w:ascii="Times New Roman" w:eastAsia="Times New Roman" w:hAnsi="Times New Roman" w:cs="Times New Roman"/>
          <w:bCs/>
          <w:color w:val="000000"/>
          <w:kern w:val="36"/>
          <w:sz w:val="24"/>
          <w:szCs w:val="24"/>
          <w:lang w:val="en-IN" w:eastAsia="en-GB"/>
        </w:rPr>
        <w:t>It is on this basis that the Indian government embarked on a major labour reform agenda in 2019-2020 whereby twenty-nine labour laws were united into four broad Labo</w:t>
      </w:r>
      <w:r w:rsidR="001D1915" w:rsidRPr="00680249">
        <w:rPr>
          <w:rFonts w:ascii="Times New Roman" w:eastAsia="Times New Roman" w:hAnsi="Times New Roman" w:cs="Times New Roman"/>
          <w:bCs/>
          <w:color w:val="000000"/>
          <w:kern w:val="36"/>
          <w:sz w:val="24"/>
          <w:szCs w:val="24"/>
          <w:lang w:val="en-IN" w:eastAsia="en-GB"/>
        </w:rPr>
        <w:t>u</w:t>
      </w:r>
      <w:r w:rsidRPr="00680249">
        <w:rPr>
          <w:rFonts w:ascii="Times New Roman" w:eastAsia="Times New Roman" w:hAnsi="Times New Roman" w:cs="Times New Roman"/>
          <w:bCs/>
          <w:color w:val="000000"/>
          <w:kern w:val="36"/>
          <w:sz w:val="24"/>
          <w:szCs w:val="24"/>
          <w:lang w:val="en-IN" w:eastAsia="en-GB"/>
        </w:rPr>
        <w:t>r Codes. These reforms were advocated as to make the regulatory structures more simple to understand, enhance compliance, and strengthen worker protection. However, the opponents insist that the focus on the simplification of regulations and the homogenization of legal material can ignore the particular vulnerability of the marginalized workers, especially women.</w:t>
      </w:r>
    </w:p>
    <w:p w14:paraId="48CF6EA2" w14:textId="345F9AF1" w:rsidR="00D94FA0" w:rsidRPr="00556474" w:rsidRDefault="00D94FA0" w:rsidP="00680249">
      <w:pPr>
        <w:spacing w:before="100" w:beforeAutospacing="1" w:after="0" w:line="360" w:lineRule="auto"/>
        <w:jc w:val="both"/>
        <w:outlineLvl w:val="0"/>
        <w:rPr>
          <w:rFonts w:ascii="Times New Roman" w:eastAsia="Times New Roman" w:hAnsi="Times New Roman" w:cs="Times New Roman"/>
          <w:b/>
          <w:color w:val="000000"/>
          <w:kern w:val="36"/>
          <w:sz w:val="24"/>
          <w:szCs w:val="24"/>
          <w:lang w:val="en-IN" w:eastAsia="en-GB"/>
        </w:rPr>
      </w:pPr>
      <w:r w:rsidRPr="00680249">
        <w:rPr>
          <w:rFonts w:ascii="Times New Roman" w:eastAsia="Times New Roman" w:hAnsi="Times New Roman" w:cs="Times New Roman"/>
          <w:bCs/>
          <w:color w:val="000000"/>
          <w:kern w:val="36"/>
          <w:sz w:val="24"/>
          <w:szCs w:val="24"/>
          <w:lang w:val="en-IN" w:eastAsia="en-GB"/>
        </w:rPr>
        <w:t xml:space="preserve">In this paper, the key question to consider is the following: </w:t>
      </w:r>
      <w:r w:rsidRPr="00680249">
        <w:rPr>
          <w:rFonts w:ascii="Times New Roman" w:eastAsia="Times New Roman" w:hAnsi="Times New Roman" w:cs="Times New Roman"/>
          <w:b/>
          <w:color w:val="000000"/>
          <w:kern w:val="36"/>
          <w:sz w:val="24"/>
          <w:szCs w:val="24"/>
          <w:lang w:val="en-IN" w:eastAsia="en-GB"/>
        </w:rPr>
        <w:t>Do the New Labour Codes in India promote substantive equality or are they only propping up the formal equality without tackling the structural labour inequalities?</w:t>
      </w:r>
    </w:p>
    <w:p w14:paraId="370AD33F" w14:textId="77777777" w:rsidR="00EE4218" w:rsidRPr="00680249" w:rsidRDefault="00EE4218" w:rsidP="00680249">
      <w:pPr>
        <w:spacing w:after="0" w:line="360" w:lineRule="auto"/>
        <w:jc w:val="both"/>
        <w:rPr>
          <w:rFonts w:ascii="Times New Roman" w:hAnsi="Times New Roman" w:cs="Times New Roman"/>
          <w:bCs/>
          <w:sz w:val="24"/>
          <w:szCs w:val="24"/>
        </w:rPr>
      </w:pPr>
    </w:p>
    <w:p w14:paraId="63450116" w14:textId="77777777" w:rsidR="00EE4218" w:rsidRPr="00680249" w:rsidRDefault="00EE4218" w:rsidP="00680249">
      <w:pPr>
        <w:spacing w:after="0" w:line="360" w:lineRule="auto"/>
        <w:jc w:val="both"/>
        <w:rPr>
          <w:rFonts w:ascii="Times New Roman" w:hAnsi="Times New Roman" w:cs="Times New Roman"/>
          <w:bCs/>
          <w:sz w:val="24"/>
          <w:szCs w:val="24"/>
        </w:rPr>
      </w:pPr>
    </w:p>
    <w:p w14:paraId="79785FC5" w14:textId="77777777" w:rsidR="00EE4218" w:rsidRPr="00680249" w:rsidRDefault="00EE4218" w:rsidP="00680249">
      <w:pPr>
        <w:spacing w:after="0" w:line="360" w:lineRule="auto"/>
        <w:jc w:val="both"/>
        <w:rPr>
          <w:rFonts w:ascii="Times New Roman" w:hAnsi="Times New Roman" w:cs="Times New Roman"/>
          <w:bCs/>
          <w:sz w:val="24"/>
          <w:szCs w:val="24"/>
        </w:rPr>
      </w:pPr>
    </w:p>
    <w:p w14:paraId="08E1C189" w14:textId="77777777" w:rsidR="00D97020" w:rsidRPr="00680249" w:rsidRDefault="00D97020" w:rsidP="00680249">
      <w:pPr>
        <w:spacing w:after="0" w:line="360" w:lineRule="auto"/>
        <w:jc w:val="both"/>
        <w:rPr>
          <w:rFonts w:ascii="Times New Roman" w:eastAsiaTheme="majorEastAsia" w:hAnsi="Times New Roman" w:cs="Times New Roman"/>
          <w:b/>
          <w:color w:val="000000"/>
          <w:sz w:val="24"/>
          <w:szCs w:val="24"/>
          <w:lang w:val="en-IN" w:eastAsia="en-GB"/>
        </w:rPr>
      </w:pPr>
      <w:r w:rsidRPr="00680249">
        <w:rPr>
          <w:rFonts w:ascii="Times New Roman" w:hAnsi="Times New Roman" w:cs="Times New Roman"/>
          <w:color w:val="000000"/>
          <w:sz w:val="24"/>
          <w:szCs w:val="24"/>
        </w:rPr>
        <w:br w:type="page"/>
      </w:r>
    </w:p>
    <w:p w14:paraId="64E1F98C" w14:textId="50DE68D8" w:rsidR="00F171F7" w:rsidRPr="00680249" w:rsidRDefault="00075611" w:rsidP="00680249">
      <w:pPr>
        <w:pStyle w:val="Heading1"/>
        <w:spacing w:before="0" w:line="360" w:lineRule="auto"/>
        <w:jc w:val="both"/>
        <w:rPr>
          <w:rFonts w:eastAsia="Times New Roman" w:cs="Times New Roman"/>
          <w:color w:val="000000"/>
          <w:sz w:val="24"/>
          <w:szCs w:val="24"/>
        </w:rPr>
      </w:pPr>
      <w:r w:rsidRPr="00680249">
        <w:rPr>
          <w:rFonts w:cs="Times New Roman"/>
          <w:color w:val="000000"/>
          <w:sz w:val="24"/>
          <w:szCs w:val="24"/>
        </w:rPr>
        <w:lastRenderedPageBreak/>
        <w:t xml:space="preserve">II. </w:t>
      </w:r>
      <w:r w:rsidR="00C00808" w:rsidRPr="00680249">
        <w:rPr>
          <w:rFonts w:cs="Times New Roman"/>
          <w:color w:val="000000"/>
          <w:sz w:val="24"/>
          <w:szCs w:val="24"/>
        </w:rPr>
        <w:t>THEORETICAL FOUNDATIONS OF FORMAL AND SUBSTANTIVE EQUALITY</w:t>
      </w:r>
    </w:p>
    <w:p w14:paraId="5103AD71" w14:textId="5D49D232" w:rsidR="00F171F7" w:rsidRPr="00680249" w:rsidRDefault="00360D41" w:rsidP="00680249">
      <w:pPr>
        <w:pStyle w:val="NormalWeb"/>
        <w:spacing w:before="0" w:beforeAutospacing="0" w:after="0" w:afterAutospacing="0" w:line="360" w:lineRule="auto"/>
        <w:jc w:val="both"/>
        <w:rPr>
          <w:bCs/>
          <w:color w:val="000000"/>
        </w:rPr>
      </w:pPr>
      <w:r w:rsidRPr="00680249">
        <w:rPr>
          <w:bCs/>
          <w:color w:val="000000"/>
        </w:rPr>
        <w:t xml:space="preserve">The formal equality and substantive justice conflict is evident in the theoretical framework of equality in the Indian legal and social structure. In order to interpret the New Labour Codes in India in terms of human rights, one has to look at the very notions of equality that are the guiding principles of constitutional jurisprudence. The classical theoretical expression of formal equality is based on procedural equity and the belief that people need to be treated equally by the law. </w:t>
      </w:r>
      <w:r w:rsidR="00F171F7" w:rsidRPr="00680249">
        <w:rPr>
          <w:bCs/>
          <w:color w:val="000000"/>
        </w:rPr>
        <w:t>Rooted in the Aristotelian principle of treating “likes as likes,” this framework emphasizes neutrality, uniformity, and the rule of law.</w:t>
      </w:r>
      <w:r w:rsidR="009B021E" w:rsidRPr="00680249">
        <w:rPr>
          <w:rStyle w:val="FootnoteReference"/>
          <w:bCs/>
          <w:color w:val="000000"/>
        </w:rPr>
        <w:footnoteReference w:id="5"/>
      </w:r>
      <w:r w:rsidR="00F171F7" w:rsidRPr="00680249">
        <w:rPr>
          <w:bCs/>
          <w:color w:val="000000"/>
        </w:rPr>
        <w:t xml:space="preserve"> </w:t>
      </w:r>
    </w:p>
    <w:p w14:paraId="3A55AAB8" w14:textId="77777777" w:rsidR="00360D41" w:rsidRPr="00680249" w:rsidRDefault="00360D41" w:rsidP="00680249">
      <w:pPr>
        <w:pStyle w:val="NormalWeb"/>
        <w:spacing w:after="0" w:afterAutospacing="0" w:line="360" w:lineRule="auto"/>
        <w:jc w:val="both"/>
        <w:rPr>
          <w:bCs/>
          <w:color w:val="000000"/>
        </w:rPr>
      </w:pPr>
      <w:r w:rsidRPr="00680249">
        <w:rPr>
          <w:bCs/>
          <w:color w:val="000000"/>
        </w:rPr>
        <w:t xml:space="preserve">But the shortcomings of formal equality can be seen clearly when it is applied in highly stratified societies like in India. When the law works with all people similar and without consideration of unequal conditions of starting points, the law can only continue the inequality instead of eradicating it. </w:t>
      </w:r>
    </w:p>
    <w:p w14:paraId="47F3067D" w14:textId="3DA71AD7" w:rsidR="00F171F7" w:rsidRPr="00680249" w:rsidRDefault="00F171F7" w:rsidP="00680249">
      <w:pPr>
        <w:pStyle w:val="NormalWeb"/>
        <w:spacing w:after="0" w:afterAutospacing="0" w:line="360" w:lineRule="auto"/>
        <w:jc w:val="both"/>
        <w:rPr>
          <w:bCs/>
          <w:color w:val="000000"/>
        </w:rPr>
      </w:pPr>
      <w:r w:rsidRPr="00680249">
        <w:rPr>
          <w:bCs/>
          <w:color w:val="000000"/>
        </w:rPr>
        <w:t>Within the Indian constitutional framework, equality is not merely a philosophical aspiration but a fundamental legal guarantee. Articles 14, 15, and 16 of the Constitution collectively establish the principles of equality before the law, prohibition of discrimination, and equal opportunity in matters of public employment.</w:t>
      </w:r>
      <w:r w:rsidR="00344947" w:rsidRPr="00680249">
        <w:rPr>
          <w:rStyle w:val="FootnoteReference"/>
          <w:bCs/>
          <w:color w:val="000000"/>
        </w:rPr>
        <w:footnoteReference w:id="6"/>
      </w:r>
      <w:r w:rsidRPr="00680249">
        <w:rPr>
          <w:bCs/>
          <w:color w:val="000000"/>
        </w:rPr>
        <w:t xml:space="preserve"> </w:t>
      </w:r>
      <w:r w:rsidR="00A14854" w:rsidRPr="00680249">
        <w:rPr>
          <w:bCs/>
          <w:color w:val="000000"/>
        </w:rPr>
        <w:t xml:space="preserve">However, the intricacy of the Indian society containing the remaining system of inequalities on the grounds of caste, gender, and economic level, begs the crucial issue of whether the same legal treatment as such, can yield equal results. </w:t>
      </w:r>
      <w:r w:rsidR="002F7813" w:rsidRPr="00680249">
        <w:rPr>
          <w:bCs/>
          <w:color w:val="000000"/>
        </w:rPr>
        <w:t>The disjunction between the constitutional promises and the realities on the ground proves the natural constraints of the application of formal neutrality in the formulation of policies aimed at attaining social justice.</w:t>
      </w:r>
    </w:p>
    <w:p w14:paraId="335FCB80" w14:textId="77777777" w:rsidR="00605C9D" w:rsidRPr="00680249" w:rsidRDefault="00605C9D" w:rsidP="00680249">
      <w:pPr>
        <w:pStyle w:val="NormalWeb"/>
        <w:spacing w:after="0" w:afterAutospacing="0" w:line="360" w:lineRule="auto"/>
        <w:jc w:val="both"/>
        <w:rPr>
          <w:bCs/>
          <w:color w:val="000000"/>
        </w:rPr>
      </w:pPr>
      <w:r w:rsidRPr="00680249">
        <w:rPr>
          <w:bCs/>
          <w:color w:val="000000"/>
        </w:rPr>
        <w:t>Human rights approaches have challenged the use of formal equality as a sole basis of gender justice in the world.</w:t>
      </w:r>
      <w:r w:rsidRPr="00680249">
        <w:rPr>
          <w:bCs/>
          <w:color w:val="000000"/>
        </w:rPr>
        <w:t xml:space="preserve"> </w:t>
      </w:r>
      <w:r w:rsidR="00F171F7" w:rsidRPr="00680249">
        <w:rPr>
          <w:bCs/>
          <w:color w:val="000000"/>
        </w:rPr>
        <w:t>Advocacy organizations have emphasized that governments must actively protect women’s rights and address structural discrimination rather than assuming that neutral legal frameworks automatically produce equitable outcomes.</w:t>
      </w:r>
      <w:r w:rsidR="00F923EF" w:rsidRPr="00680249">
        <w:rPr>
          <w:rStyle w:val="FootnoteReference"/>
          <w:bCs/>
          <w:color w:val="000000"/>
        </w:rPr>
        <w:footnoteReference w:id="7"/>
      </w:r>
      <w:r w:rsidR="002A7E94" w:rsidRPr="00680249">
        <w:rPr>
          <w:bCs/>
          <w:color w:val="000000"/>
        </w:rPr>
        <w:t xml:space="preserve"> </w:t>
      </w:r>
      <w:r w:rsidRPr="00680249">
        <w:rPr>
          <w:bCs/>
          <w:color w:val="000000"/>
        </w:rPr>
        <w:t>This view reaffirms the point that equality regimes need to adapt beyond official neutrality to policy frameworks, which can respond to the inequalities in the real world.</w:t>
      </w:r>
    </w:p>
    <w:p w14:paraId="50460E47" w14:textId="21E6EEB1" w:rsidR="00360D41" w:rsidRPr="00680249" w:rsidRDefault="00360D41" w:rsidP="00680249">
      <w:pPr>
        <w:pStyle w:val="NormalWeb"/>
        <w:spacing w:after="0" w:afterAutospacing="0" w:line="360" w:lineRule="auto"/>
        <w:jc w:val="both"/>
        <w:rPr>
          <w:bCs/>
          <w:color w:val="000000"/>
        </w:rPr>
      </w:pPr>
      <w:r w:rsidRPr="00680249">
        <w:rPr>
          <w:bCs/>
          <w:color w:val="000000"/>
        </w:rPr>
        <w:t>These theoretic lessons come in handy especially when looking at gendered aspects of labour regulation. Though formal equality guarantees equal legal position of both male and female workers, the concept fails to consider the structural disadvantages associated with the lack of payment of care, work safety of employees and the prevalence of wage gaps. The use of labour legislation which is based purely on formal equality and which treats workers as the same individuals without taking into account the structural barriers is likely to perpetuate the current differences instead of eradicating them.</w:t>
      </w:r>
    </w:p>
    <w:p w14:paraId="5F1B28C4" w14:textId="2B744590" w:rsidR="00360D41" w:rsidRPr="00680249" w:rsidRDefault="00360D41" w:rsidP="00680249">
      <w:pPr>
        <w:pStyle w:val="NormalWeb"/>
        <w:spacing w:after="0" w:afterAutospacing="0" w:line="360" w:lineRule="auto"/>
        <w:jc w:val="both"/>
        <w:rPr>
          <w:bCs/>
          <w:color w:val="000000"/>
        </w:rPr>
      </w:pPr>
      <w:r w:rsidRPr="00680249">
        <w:rPr>
          <w:bCs/>
          <w:color w:val="000000"/>
        </w:rPr>
        <w:t xml:space="preserve">Although measures of this kind can be seen as </w:t>
      </w:r>
      <w:r w:rsidR="00F46393" w:rsidRPr="00680249">
        <w:rPr>
          <w:bCs/>
          <w:color w:val="000000"/>
        </w:rPr>
        <w:t>endeavours</w:t>
      </w:r>
      <w:r w:rsidRPr="00680249">
        <w:rPr>
          <w:bCs/>
          <w:color w:val="000000"/>
        </w:rPr>
        <w:t xml:space="preserve"> at institutionalizing commitments of the constitution, their success is ultimately pegged on good enforcement and institutional participation. To recognize formal equality in Indian context thus involves taking note of the disparity between the law and the social reality. As much as formal equality gives the needed legal platform upon which non-discrimination can be realized, it is still </w:t>
      </w:r>
      <w:r w:rsidRPr="00680249">
        <w:rPr>
          <w:bCs/>
          <w:color w:val="000000"/>
        </w:rPr>
        <w:lastRenderedPageBreak/>
        <w:t>inadequate in realizing meaningful gender justice. In that regard, the strict human rights analysis of the New Labour Codes in India should judge them not solely within the framework of their legal neutrality, but also within the framework of the overall constitutional obligation to substantive equality.</w:t>
      </w:r>
    </w:p>
    <w:p w14:paraId="33FF30EB" w14:textId="77777777" w:rsidR="000C656B" w:rsidRPr="00680249" w:rsidRDefault="000C656B" w:rsidP="00680249">
      <w:pPr>
        <w:spacing w:after="0" w:line="360" w:lineRule="auto"/>
        <w:jc w:val="both"/>
        <w:rPr>
          <w:rFonts w:ascii="Times New Roman" w:hAnsi="Times New Roman" w:cs="Times New Roman"/>
          <w:b/>
          <w:bCs/>
          <w:color w:val="000000"/>
          <w:sz w:val="24"/>
          <w:szCs w:val="24"/>
        </w:rPr>
      </w:pPr>
    </w:p>
    <w:p w14:paraId="38553B7B" w14:textId="49FCBE80" w:rsidR="0040381C" w:rsidRPr="00680249" w:rsidRDefault="00075611" w:rsidP="00680249">
      <w:pPr>
        <w:spacing w:after="0" w:line="360" w:lineRule="auto"/>
        <w:jc w:val="both"/>
        <w:rPr>
          <w:rFonts w:ascii="Times New Roman" w:eastAsiaTheme="majorEastAsia" w:hAnsi="Times New Roman" w:cs="Times New Roman"/>
          <w:b/>
          <w:bCs/>
          <w:color w:val="000000"/>
          <w:sz w:val="24"/>
          <w:szCs w:val="24"/>
          <w:lang w:val="en-IN" w:eastAsia="en-GB"/>
        </w:rPr>
      </w:pPr>
      <w:r w:rsidRPr="00680249">
        <w:rPr>
          <w:rFonts w:ascii="Times New Roman" w:hAnsi="Times New Roman" w:cs="Times New Roman"/>
          <w:b/>
          <w:bCs/>
          <w:color w:val="000000"/>
          <w:sz w:val="24"/>
          <w:szCs w:val="24"/>
        </w:rPr>
        <w:t xml:space="preserve">III. </w:t>
      </w:r>
      <w:r w:rsidR="000C656B" w:rsidRPr="00680249">
        <w:rPr>
          <w:rFonts w:ascii="Times New Roman" w:hAnsi="Times New Roman" w:cs="Times New Roman"/>
          <w:b/>
          <w:bCs/>
          <w:color w:val="000000"/>
          <w:sz w:val="24"/>
          <w:szCs w:val="24"/>
        </w:rPr>
        <w:t>SUBSTANTIVE EQUALITY AS A HUMAN RIGHTS FRAMEWORK</w:t>
      </w:r>
    </w:p>
    <w:p w14:paraId="38D7A491" w14:textId="3FACB1EE" w:rsidR="0040381C" w:rsidRPr="00680249" w:rsidRDefault="00162075" w:rsidP="00680249">
      <w:pPr>
        <w:spacing w:after="0" w:line="360" w:lineRule="auto"/>
        <w:jc w:val="both"/>
        <w:rPr>
          <w:rFonts w:ascii="Times New Roman" w:hAnsi="Times New Roman" w:cs="Times New Roman"/>
          <w:bCs/>
          <w:sz w:val="24"/>
          <w:szCs w:val="24"/>
        </w:rPr>
      </w:pPr>
      <w:r w:rsidRPr="00680249">
        <w:rPr>
          <w:rFonts w:ascii="Times New Roman" w:hAnsi="Times New Roman" w:cs="Times New Roman"/>
          <w:bCs/>
          <w:sz w:val="24"/>
          <w:szCs w:val="24"/>
        </w:rPr>
        <w:t xml:space="preserve">Substantive equality is a principle that is a critical corrective to the constraints of formal equality, especially when considering systemic inequalities that are part of the Indian socio-economic system. </w:t>
      </w:r>
      <w:r w:rsidR="0040381C" w:rsidRPr="00680249">
        <w:rPr>
          <w:rFonts w:ascii="Times New Roman" w:hAnsi="Times New Roman" w:cs="Times New Roman"/>
          <w:bCs/>
          <w:color w:val="000000"/>
          <w:sz w:val="24"/>
          <w:szCs w:val="24"/>
        </w:rPr>
        <w:t>While formal equality advocates identical legal treatment for all individuals, substantive equality recognizes that historical disadvantages, structural barriers, and entrenched discrimination make the notion of a neutral “level playing field” largely illusory.</w:t>
      </w:r>
      <w:r w:rsidR="0040381C" w:rsidRPr="00680249">
        <w:rPr>
          <w:rStyle w:val="FootnoteReference"/>
          <w:rFonts w:ascii="Times New Roman" w:hAnsi="Times New Roman" w:cs="Times New Roman"/>
          <w:bCs/>
          <w:color w:val="000000"/>
          <w:sz w:val="24"/>
          <w:szCs w:val="24"/>
        </w:rPr>
        <w:footnoteReference w:id="8"/>
      </w:r>
      <w:r w:rsidR="0040381C" w:rsidRPr="00680249">
        <w:rPr>
          <w:rFonts w:ascii="Times New Roman" w:hAnsi="Times New Roman" w:cs="Times New Roman"/>
          <w:bCs/>
          <w:color w:val="000000"/>
          <w:sz w:val="24"/>
          <w:szCs w:val="24"/>
        </w:rPr>
        <w:t xml:space="preserve"> </w:t>
      </w:r>
      <w:r w:rsidR="003C68B0" w:rsidRPr="00680249">
        <w:rPr>
          <w:rFonts w:ascii="Times New Roman" w:hAnsi="Times New Roman" w:cs="Times New Roman"/>
          <w:bCs/>
          <w:sz w:val="24"/>
          <w:szCs w:val="24"/>
        </w:rPr>
        <w:t xml:space="preserve">This difference is especially important in the conditions of the New </w:t>
      </w:r>
      <w:proofErr w:type="spellStart"/>
      <w:r w:rsidR="003C68B0" w:rsidRPr="00680249">
        <w:rPr>
          <w:rFonts w:ascii="Times New Roman" w:hAnsi="Times New Roman" w:cs="Times New Roman"/>
          <w:bCs/>
          <w:sz w:val="24"/>
          <w:szCs w:val="24"/>
        </w:rPr>
        <w:t>Labour</w:t>
      </w:r>
      <w:proofErr w:type="spellEnd"/>
      <w:r w:rsidR="003C68B0" w:rsidRPr="00680249">
        <w:rPr>
          <w:rFonts w:ascii="Times New Roman" w:hAnsi="Times New Roman" w:cs="Times New Roman"/>
          <w:bCs/>
          <w:sz w:val="24"/>
          <w:szCs w:val="24"/>
        </w:rPr>
        <w:t xml:space="preserve"> Codes in India. Neutral laws might not be associated with fair results when they are exercised in unequal social settings. The move toward substantive equality must thus take cognizance to the fact that to treat </w:t>
      </w:r>
      <w:proofErr w:type="spellStart"/>
      <w:r w:rsidR="003C68B0" w:rsidRPr="00680249">
        <w:rPr>
          <w:rFonts w:ascii="Times New Roman" w:hAnsi="Times New Roman" w:cs="Times New Roman"/>
          <w:bCs/>
          <w:sz w:val="24"/>
          <w:szCs w:val="24"/>
        </w:rPr>
        <w:t>unequals</w:t>
      </w:r>
      <w:proofErr w:type="spellEnd"/>
      <w:r w:rsidR="003C68B0" w:rsidRPr="00680249">
        <w:rPr>
          <w:rFonts w:ascii="Times New Roman" w:hAnsi="Times New Roman" w:cs="Times New Roman"/>
          <w:bCs/>
          <w:sz w:val="24"/>
          <w:szCs w:val="24"/>
        </w:rPr>
        <w:t xml:space="preserve"> as equals is to stand a risk of reinforcing rather than breaking down hierarchies. </w:t>
      </w:r>
    </w:p>
    <w:p w14:paraId="29112C5D" w14:textId="77777777" w:rsidR="00075611" w:rsidRPr="00680249" w:rsidRDefault="00075611" w:rsidP="00680249">
      <w:pPr>
        <w:spacing w:after="0" w:line="360" w:lineRule="auto"/>
        <w:jc w:val="both"/>
        <w:rPr>
          <w:rFonts w:ascii="Times New Roman" w:hAnsi="Times New Roman" w:cs="Times New Roman"/>
          <w:bCs/>
          <w:sz w:val="24"/>
          <w:szCs w:val="24"/>
        </w:rPr>
      </w:pPr>
    </w:p>
    <w:p w14:paraId="43D12212" w14:textId="55D814C8" w:rsidR="0040381C" w:rsidRPr="00680249" w:rsidRDefault="003C68B0" w:rsidP="00680249">
      <w:pPr>
        <w:spacing w:after="0" w:line="360" w:lineRule="auto"/>
        <w:jc w:val="both"/>
        <w:rPr>
          <w:rFonts w:ascii="Times New Roman" w:hAnsi="Times New Roman" w:cs="Times New Roman"/>
          <w:bCs/>
          <w:color w:val="000000"/>
          <w:sz w:val="24"/>
          <w:szCs w:val="24"/>
        </w:rPr>
      </w:pPr>
      <w:r w:rsidRPr="00680249">
        <w:rPr>
          <w:rFonts w:ascii="Times New Roman" w:hAnsi="Times New Roman" w:cs="Times New Roman"/>
          <w:bCs/>
          <w:sz w:val="24"/>
          <w:szCs w:val="24"/>
        </w:rPr>
        <w:t>The change is well echoed in modern world human rights discourse. There is a growing stress among the international institutions that formal legal guarantees are not enough to ensure the socio-economic rights.</w:t>
      </w:r>
      <w:r w:rsidRPr="00680249">
        <w:rPr>
          <w:rFonts w:ascii="Times New Roman" w:hAnsi="Times New Roman" w:cs="Times New Roman"/>
          <w:bCs/>
          <w:sz w:val="24"/>
          <w:szCs w:val="24"/>
        </w:rPr>
        <w:t xml:space="preserve"> </w:t>
      </w:r>
      <w:r w:rsidR="0040381C" w:rsidRPr="00680249">
        <w:rPr>
          <w:rFonts w:ascii="Times New Roman" w:hAnsi="Times New Roman" w:cs="Times New Roman"/>
          <w:bCs/>
          <w:color w:val="000000"/>
          <w:sz w:val="24"/>
          <w:szCs w:val="24"/>
        </w:rPr>
        <w:t>The Committee on Economic, Social and Cultural Rights (CESCR), in recent sessions reviewing state compliance with international covenants, highlighted that structural inequalities frequently undermine progress in realizing economic and social rights.</w:t>
      </w:r>
      <w:r w:rsidR="00B80237" w:rsidRPr="00680249">
        <w:rPr>
          <w:rStyle w:val="FootnoteReference"/>
          <w:rFonts w:ascii="Times New Roman" w:hAnsi="Times New Roman" w:cs="Times New Roman"/>
          <w:bCs/>
          <w:color w:val="000000"/>
          <w:sz w:val="24"/>
          <w:szCs w:val="24"/>
        </w:rPr>
        <w:footnoteReference w:id="9"/>
      </w:r>
      <w:r w:rsidR="0040381C" w:rsidRPr="00680249">
        <w:rPr>
          <w:rFonts w:ascii="Times New Roman" w:hAnsi="Times New Roman" w:cs="Times New Roman"/>
          <w:bCs/>
          <w:color w:val="000000"/>
          <w:sz w:val="24"/>
          <w:szCs w:val="24"/>
        </w:rPr>
        <w:t xml:space="preserve"> </w:t>
      </w:r>
    </w:p>
    <w:p w14:paraId="2D237164" w14:textId="77777777" w:rsidR="00075611" w:rsidRPr="00680249" w:rsidRDefault="00075611" w:rsidP="00680249">
      <w:pPr>
        <w:spacing w:after="0" w:line="360" w:lineRule="auto"/>
        <w:jc w:val="both"/>
        <w:rPr>
          <w:rFonts w:ascii="Times New Roman" w:hAnsi="Times New Roman" w:cs="Times New Roman"/>
          <w:bCs/>
          <w:sz w:val="24"/>
          <w:szCs w:val="24"/>
        </w:rPr>
      </w:pPr>
    </w:p>
    <w:p w14:paraId="3CB2E064" w14:textId="77777777" w:rsidR="0055529D" w:rsidRPr="00680249" w:rsidRDefault="0055529D" w:rsidP="00680249">
      <w:pPr>
        <w:spacing w:after="0" w:line="360" w:lineRule="auto"/>
        <w:jc w:val="both"/>
        <w:rPr>
          <w:rFonts w:ascii="Times New Roman" w:hAnsi="Times New Roman" w:cs="Times New Roman"/>
          <w:bCs/>
          <w:sz w:val="24"/>
          <w:szCs w:val="24"/>
        </w:rPr>
      </w:pPr>
      <w:r w:rsidRPr="00680249">
        <w:rPr>
          <w:rFonts w:ascii="Times New Roman" w:hAnsi="Times New Roman" w:cs="Times New Roman"/>
          <w:bCs/>
          <w:sz w:val="24"/>
          <w:szCs w:val="24"/>
        </w:rPr>
        <w:t xml:space="preserve">Such judicial scrupulousness has thus been seen as a possible hindrance to reforms that are based on equality. The consequences of this are not confined to higher education and can be applied to the wider interpretation of the law concerning </w:t>
      </w:r>
      <w:proofErr w:type="spellStart"/>
      <w:r w:rsidRPr="00680249">
        <w:rPr>
          <w:rFonts w:ascii="Times New Roman" w:hAnsi="Times New Roman" w:cs="Times New Roman"/>
          <w:bCs/>
          <w:sz w:val="24"/>
          <w:szCs w:val="24"/>
        </w:rPr>
        <w:t>labour</w:t>
      </w:r>
      <w:proofErr w:type="spellEnd"/>
      <w:r w:rsidRPr="00680249">
        <w:rPr>
          <w:rFonts w:ascii="Times New Roman" w:hAnsi="Times New Roman" w:cs="Times New Roman"/>
          <w:bCs/>
          <w:sz w:val="24"/>
          <w:szCs w:val="24"/>
        </w:rPr>
        <w:t xml:space="preserve">. When equality is perceived in terms pure formal neutrality, any clause in </w:t>
      </w:r>
      <w:proofErr w:type="spellStart"/>
      <w:r w:rsidRPr="00680249">
        <w:rPr>
          <w:rFonts w:ascii="Times New Roman" w:hAnsi="Times New Roman" w:cs="Times New Roman"/>
          <w:bCs/>
          <w:sz w:val="24"/>
          <w:szCs w:val="24"/>
        </w:rPr>
        <w:t>labour</w:t>
      </w:r>
      <w:proofErr w:type="spellEnd"/>
      <w:r w:rsidRPr="00680249">
        <w:rPr>
          <w:rFonts w:ascii="Times New Roman" w:hAnsi="Times New Roman" w:cs="Times New Roman"/>
          <w:bCs/>
          <w:sz w:val="24"/>
          <w:szCs w:val="24"/>
        </w:rPr>
        <w:t xml:space="preserve"> laws that aims to safeguard weak workers, especially women might be challenged on the basis that they do not conform to identical treatment.</w:t>
      </w:r>
    </w:p>
    <w:p w14:paraId="00517901" w14:textId="77777777" w:rsidR="00075611" w:rsidRPr="00680249" w:rsidRDefault="00075611" w:rsidP="00680249">
      <w:pPr>
        <w:spacing w:after="0" w:line="360" w:lineRule="auto"/>
        <w:jc w:val="both"/>
        <w:rPr>
          <w:rFonts w:ascii="Times New Roman" w:hAnsi="Times New Roman" w:cs="Times New Roman"/>
          <w:bCs/>
          <w:sz w:val="24"/>
          <w:szCs w:val="24"/>
        </w:rPr>
      </w:pPr>
    </w:p>
    <w:p w14:paraId="5AD22E15" w14:textId="53359A2E" w:rsidR="00AF4439" w:rsidRPr="00680249" w:rsidRDefault="00AF4439" w:rsidP="00680249">
      <w:pPr>
        <w:spacing w:after="0" w:line="360" w:lineRule="auto"/>
        <w:jc w:val="both"/>
        <w:rPr>
          <w:rFonts w:ascii="Times New Roman" w:hAnsi="Times New Roman" w:cs="Times New Roman"/>
          <w:bCs/>
          <w:sz w:val="24"/>
          <w:szCs w:val="24"/>
        </w:rPr>
      </w:pPr>
      <w:r w:rsidRPr="00680249">
        <w:rPr>
          <w:rFonts w:ascii="Times New Roman" w:hAnsi="Times New Roman" w:cs="Times New Roman"/>
          <w:bCs/>
          <w:sz w:val="24"/>
          <w:szCs w:val="24"/>
        </w:rPr>
        <w:t xml:space="preserve">Regardless of these tensions, legislative efforts that can encourage substantive equality are still going to appear in the dynamic Indian legal environment. This is evidenced by the fact that such proposals can be seen as more and more aware of the fact that institutional representation and specific interventions are needed to overcome historical inequalities. The same is also relevant in the field of </w:t>
      </w:r>
      <w:proofErr w:type="spellStart"/>
      <w:r w:rsidRPr="00680249">
        <w:rPr>
          <w:rFonts w:ascii="Times New Roman" w:hAnsi="Times New Roman" w:cs="Times New Roman"/>
          <w:bCs/>
          <w:sz w:val="24"/>
          <w:szCs w:val="24"/>
        </w:rPr>
        <w:t>labour</w:t>
      </w:r>
      <w:proofErr w:type="spellEnd"/>
      <w:r w:rsidRPr="00680249">
        <w:rPr>
          <w:rFonts w:ascii="Times New Roman" w:hAnsi="Times New Roman" w:cs="Times New Roman"/>
          <w:bCs/>
          <w:sz w:val="24"/>
          <w:szCs w:val="24"/>
        </w:rPr>
        <w:t xml:space="preserve"> governance, where the marginalized communities are frequently subject to concerns regarding the hiring, the safety of the workplace, and availability of social protection.</w:t>
      </w:r>
    </w:p>
    <w:p w14:paraId="03DC6579" w14:textId="77777777" w:rsidR="00075611" w:rsidRPr="00680249" w:rsidRDefault="00075611" w:rsidP="00680249">
      <w:pPr>
        <w:spacing w:after="0" w:line="360" w:lineRule="auto"/>
        <w:jc w:val="both"/>
        <w:rPr>
          <w:rFonts w:ascii="Times New Roman" w:hAnsi="Times New Roman" w:cs="Times New Roman"/>
          <w:bCs/>
          <w:sz w:val="24"/>
          <w:szCs w:val="24"/>
        </w:rPr>
      </w:pPr>
    </w:p>
    <w:p w14:paraId="4C3EB432" w14:textId="77777777" w:rsidR="00AF4439" w:rsidRPr="00680249" w:rsidRDefault="00AF4439" w:rsidP="00680249">
      <w:pPr>
        <w:spacing w:after="0" w:line="360" w:lineRule="auto"/>
        <w:jc w:val="both"/>
        <w:rPr>
          <w:rFonts w:ascii="Times New Roman" w:hAnsi="Times New Roman" w:cs="Times New Roman"/>
          <w:bCs/>
          <w:sz w:val="24"/>
          <w:szCs w:val="24"/>
        </w:rPr>
      </w:pPr>
      <w:r w:rsidRPr="00680249">
        <w:rPr>
          <w:rFonts w:ascii="Times New Roman" w:hAnsi="Times New Roman" w:cs="Times New Roman"/>
          <w:bCs/>
          <w:sz w:val="24"/>
          <w:szCs w:val="24"/>
        </w:rPr>
        <w:t xml:space="preserve">The policy changing nature of early 2026 thus depicts the strides towards and the opposition against equality in the Indian social structure. Efforts like the UGC Equity Regulations and more general discussions of the </w:t>
      </w:r>
      <w:r w:rsidRPr="00680249">
        <w:rPr>
          <w:rFonts w:ascii="Times New Roman" w:hAnsi="Times New Roman" w:cs="Times New Roman"/>
          <w:bCs/>
          <w:sz w:val="24"/>
          <w:szCs w:val="24"/>
        </w:rPr>
        <w:lastRenderedPageBreak/>
        <w:t>institutional representation are signs of the developing understanding of the necessity to overcome historical inequalities in terms of substantive equality. Meanwhile, judicial interventions and a lively debate on policies demonstrate the difficulties in putting these principles into working governance systems.</w:t>
      </w:r>
    </w:p>
    <w:p w14:paraId="230F5C0D" w14:textId="77777777" w:rsidR="00075611" w:rsidRPr="00680249" w:rsidRDefault="00075611" w:rsidP="00680249">
      <w:pPr>
        <w:spacing w:after="0" w:line="360" w:lineRule="auto"/>
        <w:jc w:val="both"/>
        <w:rPr>
          <w:rFonts w:ascii="Times New Roman" w:hAnsi="Times New Roman" w:cs="Times New Roman"/>
          <w:bCs/>
          <w:sz w:val="24"/>
          <w:szCs w:val="24"/>
        </w:rPr>
      </w:pPr>
    </w:p>
    <w:p w14:paraId="127987FA" w14:textId="77777777" w:rsidR="00075611" w:rsidRPr="00680249" w:rsidRDefault="00AF4439" w:rsidP="00680249">
      <w:pPr>
        <w:spacing w:after="0" w:line="360" w:lineRule="auto"/>
        <w:jc w:val="both"/>
        <w:rPr>
          <w:rFonts w:ascii="Times New Roman" w:eastAsia="Microsoft YaHei" w:hAnsi="Times New Roman" w:cs="Times New Roman"/>
          <w:bCs/>
          <w:color w:val="000000"/>
          <w:kern w:val="36"/>
          <w:sz w:val="24"/>
          <w:szCs w:val="24"/>
          <w:lang w:val="en-IN" w:eastAsia="en-GB"/>
        </w:rPr>
      </w:pPr>
      <w:r w:rsidRPr="00680249">
        <w:rPr>
          <w:rFonts w:ascii="Times New Roman" w:hAnsi="Times New Roman" w:cs="Times New Roman"/>
          <w:bCs/>
          <w:sz w:val="24"/>
          <w:szCs w:val="24"/>
        </w:rPr>
        <w:t xml:space="preserve">To be real in promoting human rights and gender justice, the New </w:t>
      </w:r>
      <w:proofErr w:type="spellStart"/>
      <w:r w:rsidRPr="00680249">
        <w:rPr>
          <w:rFonts w:ascii="Times New Roman" w:hAnsi="Times New Roman" w:cs="Times New Roman"/>
          <w:bCs/>
          <w:sz w:val="24"/>
          <w:szCs w:val="24"/>
        </w:rPr>
        <w:t>Labour</w:t>
      </w:r>
      <w:proofErr w:type="spellEnd"/>
      <w:r w:rsidRPr="00680249">
        <w:rPr>
          <w:rFonts w:ascii="Times New Roman" w:hAnsi="Times New Roman" w:cs="Times New Roman"/>
          <w:bCs/>
          <w:sz w:val="24"/>
          <w:szCs w:val="24"/>
        </w:rPr>
        <w:t xml:space="preserve"> Codes should be construed with the substantive equality in mind. Trusting neutrality only on the formal level can merely advance the structural imbalances that still characterize the Indian </w:t>
      </w:r>
      <w:proofErr w:type="spellStart"/>
      <w:r w:rsidRPr="00680249">
        <w:rPr>
          <w:rFonts w:ascii="Times New Roman" w:hAnsi="Times New Roman" w:cs="Times New Roman"/>
          <w:bCs/>
          <w:sz w:val="24"/>
          <w:szCs w:val="24"/>
        </w:rPr>
        <w:t>labour</w:t>
      </w:r>
      <w:proofErr w:type="spellEnd"/>
      <w:r w:rsidRPr="00680249">
        <w:rPr>
          <w:rFonts w:ascii="Times New Roman" w:hAnsi="Times New Roman" w:cs="Times New Roman"/>
          <w:bCs/>
          <w:sz w:val="24"/>
          <w:szCs w:val="24"/>
        </w:rPr>
        <w:t xml:space="preserve"> market. The solution to these inequalities must be integrated institutional changes, the specific policy actions, and the commitment to the fair allocation of opportunities. It is only in such a manner that the </w:t>
      </w:r>
      <w:proofErr w:type="spellStart"/>
      <w:r w:rsidRPr="00680249">
        <w:rPr>
          <w:rFonts w:ascii="Times New Roman" w:hAnsi="Times New Roman" w:cs="Times New Roman"/>
          <w:bCs/>
          <w:sz w:val="24"/>
          <w:szCs w:val="24"/>
        </w:rPr>
        <w:t>labour</w:t>
      </w:r>
      <w:proofErr w:type="spellEnd"/>
      <w:r w:rsidRPr="00680249">
        <w:rPr>
          <w:rFonts w:ascii="Times New Roman" w:hAnsi="Times New Roman" w:cs="Times New Roman"/>
          <w:bCs/>
          <w:sz w:val="24"/>
          <w:szCs w:val="24"/>
        </w:rPr>
        <w:t xml:space="preserve"> reforms would be able to guarantee that economic development is being good to the worst of the working classes.</w:t>
      </w:r>
    </w:p>
    <w:p w14:paraId="63AE9EBE" w14:textId="77777777" w:rsidR="00075611" w:rsidRPr="00680249" w:rsidRDefault="00075611" w:rsidP="00680249">
      <w:pPr>
        <w:spacing w:after="0" w:line="360" w:lineRule="auto"/>
        <w:jc w:val="both"/>
        <w:rPr>
          <w:rFonts w:ascii="Times New Roman" w:hAnsi="Times New Roman" w:cs="Times New Roman"/>
          <w:b/>
          <w:bCs/>
          <w:color w:val="000000"/>
          <w:sz w:val="24"/>
          <w:szCs w:val="24"/>
        </w:rPr>
      </w:pPr>
    </w:p>
    <w:p w14:paraId="311F1EF3" w14:textId="14C6AD57" w:rsidR="00390F6E" w:rsidRPr="00680249" w:rsidRDefault="00075611" w:rsidP="00680249">
      <w:pPr>
        <w:spacing w:after="0" w:line="360" w:lineRule="auto"/>
        <w:jc w:val="both"/>
        <w:rPr>
          <w:rFonts w:ascii="Times New Roman" w:hAnsi="Times New Roman" w:cs="Times New Roman"/>
          <w:b/>
          <w:bCs/>
          <w:sz w:val="24"/>
          <w:szCs w:val="24"/>
        </w:rPr>
      </w:pPr>
      <w:r w:rsidRPr="00680249">
        <w:rPr>
          <w:rFonts w:ascii="Times New Roman" w:hAnsi="Times New Roman" w:cs="Times New Roman"/>
          <w:b/>
          <w:bCs/>
          <w:color w:val="000000"/>
          <w:sz w:val="24"/>
          <w:szCs w:val="24"/>
        </w:rPr>
        <w:t xml:space="preserve">IV. </w:t>
      </w:r>
      <w:r w:rsidR="00C00808" w:rsidRPr="00680249">
        <w:rPr>
          <w:rFonts w:ascii="Times New Roman" w:hAnsi="Times New Roman" w:cs="Times New Roman"/>
          <w:b/>
          <w:bCs/>
          <w:color w:val="000000"/>
          <w:sz w:val="24"/>
          <w:szCs w:val="24"/>
        </w:rPr>
        <w:t>GENDER JUSTICE UNDER INDIA’S NEW LABOUR CODES</w:t>
      </w:r>
    </w:p>
    <w:p w14:paraId="11F31D3B" w14:textId="2FDC305B" w:rsidR="00390F6E" w:rsidRPr="00680249" w:rsidRDefault="00075611" w:rsidP="00680249">
      <w:pPr>
        <w:pStyle w:val="Heading2"/>
        <w:spacing w:after="0" w:line="360" w:lineRule="auto"/>
        <w:jc w:val="both"/>
        <w:rPr>
          <w:rFonts w:ascii="Times New Roman" w:hAnsi="Times New Roman" w:cs="Times New Roman"/>
          <w:b/>
          <w:color w:val="000000"/>
          <w:sz w:val="24"/>
          <w:szCs w:val="24"/>
        </w:rPr>
      </w:pPr>
      <w:r w:rsidRPr="00680249">
        <w:rPr>
          <w:rFonts w:ascii="Times New Roman" w:hAnsi="Times New Roman" w:cs="Times New Roman"/>
          <w:b/>
          <w:color w:val="000000"/>
          <w:sz w:val="24"/>
          <w:szCs w:val="24"/>
        </w:rPr>
        <w:t xml:space="preserve">A. </w:t>
      </w:r>
      <w:r w:rsidR="00390F6E" w:rsidRPr="00680249">
        <w:rPr>
          <w:rFonts w:ascii="Times New Roman" w:hAnsi="Times New Roman" w:cs="Times New Roman"/>
          <w:b/>
          <w:color w:val="000000"/>
          <w:sz w:val="24"/>
          <w:szCs w:val="24"/>
        </w:rPr>
        <w:t>Key Features of India’s New Labour Codes and Gender Implications</w:t>
      </w:r>
    </w:p>
    <w:p w14:paraId="0486BCE4" w14:textId="77777777" w:rsidR="00355875" w:rsidRPr="00680249" w:rsidRDefault="00355875" w:rsidP="00680249">
      <w:pPr>
        <w:pStyle w:val="NormalWeb"/>
        <w:spacing w:after="0" w:afterAutospacing="0" w:line="360" w:lineRule="auto"/>
        <w:jc w:val="both"/>
        <w:rPr>
          <w:bCs/>
          <w:color w:val="000000"/>
        </w:rPr>
      </w:pPr>
      <w:r w:rsidRPr="00680249">
        <w:rPr>
          <w:bCs/>
          <w:color w:val="000000"/>
        </w:rPr>
        <w:t>The use of a few sweeping labour laws to give rise to four very broad codes the Code on Wages, 2019, the Code on Social Security, 2020, the Industrial Relations Code, 2020, and the Occupational Safety, Health and Working Conditions Code, 2020 (OSH Code) is a significant change in the labour law regime in India especially in terms of gender justice and human rights. The new framework is a shift of the previous model that was based on protectionism that often limited employment of women under the argument of safety to a rights-based approach that upholds equality of opportunity and non-discrimination. Nonetheless, considered in the context of substantive equality, it is obvious that as long as legislative changes are introduced, structural constraints that still exist in the way women are involved in the labour market will not be removed.</w:t>
      </w:r>
    </w:p>
    <w:p w14:paraId="5EEB9F3C" w14:textId="5F377F60" w:rsidR="00390F6E" w:rsidRPr="00680249" w:rsidRDefault="00390F6E" w:rsidP="00680249">
      <w:pPr>
        <w:pStyle w:val="NormalWeb"/>
        <w:spacing w:after="0" w:afterAutospacing="0" w:line="360" w:lineRule="auto"/>
        <w:jc w:val="both"/>
        <w:rPr>
          <w:bCs/>
          <w:color w:val="000000"/>
        </w:rPr>
      </w:pPr>
      <w:r w:rsidRPr="00680249">
        <w:rPr>
          <w:bCs/>
          <w:color w:val="000000"/>
        </w:rPr>
        <w:t>Among the four codes, the</w:t>
      </w:r>
      <w:r w:rsidRPr="00680249">
        <w:rPr>
          <w:rStyle w:val="apple-converted-space"/>
          <w:rFonts w:eastAsiaTheme="majorEastAsia"/>
          <w:bCs/>
          <w:color w:val="000000"/>
        </w:rPr>
        <w:t> </w:t>
      </w:r>
      <w:r w:rsidRPr="00680249">
        <w:rPr>
          <w:rStyle w:val="Strong"/>
          <w:rFonts w:eastAsiaTheme="majorEastAsia"/>
          <w:b w:val="0"/>
          <w:color w:val="000000"/>
        </w:rPr>
        <w:t>Code on Wages, 2019</w:t>
      </w:r>
      <w:r w:rsidRPr="00680249">
        <w:rPr>
          <w:rStyle w:val="apple-converted-space"/>
          <w:rFonts w:eastAsiaTheme="majorEastAsia"/>
          <w:bCs/>
          <w:color w:val="000000"/>
        </w:rPr>
        <w:t> </w:t>
      </w:r>
      <w:r w:rsidRPr="00680249">
        <w:rPr>
          <w:bCs/>
          <w:color w:val="000000"/>
        </w:rPr>
        <w:t>plays a central role in advancing economic equality. One of its most significant provisions prohibits gender discrimination not only in wages but also in recruitment and conditions of employment.</w:t>
      </w:r>
      <w:r w:rsidR="008438AF" w:rsidRPr="00680249">
        <w:rPr>
          <w:rStyle w:val="FootnoteReference"/>
          <w:bCs/>
          <w:color w:val="000000"/>
        </w:rPr>
        <w:footnoteReference w:id="10"/>
      </w:r>
      <w:r w:rsidRPr="00680249">
        <w:rPr>
          <w:bCs/>
          <w:color w:val="000000"/>
        </w:rPr>
        <w:t xml:space="preserve"> </w:t>
      </w:r>
      <w:r w:rsidR="001818F1" w:rsidRPr="00680249">
        <w:rPr>
          <w:bCs/>
          <w:color w:val="000000"/>
        </w:rPr>
        <w:t xml:space="preserve">The Code is intended to address occupational stratification through extending the principle of equal remuneration to work of a similar nature, which in the past permitted employers to justify wage inequality between male and female employees who had to undertake similar jobs. </w:t>
      </w:r>
      <w:r w:rsidRPr="00680249">
        <w:rPr>
          <w:bCs/>
          <w:color w:val="000000"/>
        </w:rPr>
        <w:t>Nevertheless, the practical effectiveness of these provisions depends heavily on enforcement mechanisms, monitoring systems, and institutional capacity, which remain under development as of early 2026.</w:t>
      </w:r>
      <w:r w:rsidR="00205B67" w:rsidRPr="00680249">
        <w:rPr>
          <w:rStyle w:val="FootnoteReference"/>
          <w:bCs/>
          <w:color w:val="000000"/>
        </w:rPr>
        <w:footnoteReference w:id="11"/>
      </w:r>
    </w:p>
    <w:p w14:paraId="10489B50" w14:textId="1B141A0C" w:rsidR="00390F6E" w:rsidRPr="00680249" w:rsidRDefault="003B56AF" w:rsidP="00680249">
      <w:pPr>
        <w:pStyle w:val="NormalWeb"/>
        <w:spacing w:after="0" w:afterAutospacing="0" w:line="360" w:lineRule="auto"/>
        <w:jc w:val="both"/>
        <w:rPr>
          <w:bCs/>
          <w:color w:val="000000"/>
        </w:rPr>
      </w:pPr>
      <w:r w:rsidRPr="00680249">
        <w:rPr>
          <w:bCs/>
          <w:color w:val="000000"/>
        </w:rPr>
        <w:t xml:space="preserve">One of the areas that the new framework will change significantly can be found in Occupational Safety, Health and Working Conditions Code, 2020. In the past, Indian labour laws did not allow women to take night shifts or in some industrial settings on the pretext of safety. Although these limitations were imposed as means of protection, they tended to reduce women to access more income-generating industrial work and they further strengthened occupational segregation. </w:t>
      </w:r>
      <w:r w:rsidRPr="00680249">
        <w:rPr>
          <w:bCs/>
          <w:color w:val="000000"/>
        </w:rPr>
        <w:t xml:space="preserve"> </w:t>
      </w:r>
      <w:r w:rsidR="00390F6E" w:rsidRPr="00680249">
        <w:rPr>
          <w:bCs/>
          <w:color w:val="000000"/>
        </w:rPr>
        <w:t xml:space="preserve">The OSH Code attempts to reverse this paradigm by allowing women to </w:t>
      </w:r>
      <w:r w:rsidR="00390F6E" w:rsidRPr="00680249">
        <w:rPr>
          <w:bCs/>
          <w:color w:val="000000"/>
        </w:rPr>
        <w:lastRenderedPageBreak/>
        <w:t>work in all establishments, including those requiring night shifts, thereby expanding employment opportunities and promoting gender inclusion within the workforce.</w:t>
      </w:r>
      <w:r w:rsidR="00205B67" w:rsidRPr="00680249">
        <w:rPr>
          <w:rStyle w:val="FootnoteReference"/>
          <w:bCs/>
          <w:color w:val="000000"/>
        </w:rPr>
        <w:footnoteReference w:id="12"/>
      </w:r>
      <w:r w:rsidR="00205B67" w:rsidRPr="00680249">
        <w:rPr>
          <w:bCs/>
          <w:color w:val="000000"/>
        </w:rPr>
        <w:t xml:space="preserve"> </w:t>
      </w:r>
      <w:r w:rsidR="00390F6E" w:rsidRPr="00680249">
        <w:rPr>
          <w:bCs/>
          <w:color w:val="000000"/>
        </w:rPr>
        <w:t>However, such employment is conditional upon adequate safety arrangements and the voluntary written consent of the woman employee.</w:t>
      </w:r>
      <w:r w:rsidR="006936B2" w:rsidRPr="00680249">
        <w:rPr>
          <w:rStyle w:val="FootnoteReference"/>
          <w:bCs/>
          <w:color w:val="000000"/>
        </w:rPr>
        <w:footnoteReference w:id="13"/>
      </w:r>
    </w:p>
    <w:p w14:paraId="16D33ACB" w14:textId="77777777" w:rsidR="003B56AF" w:rsidRPr="00680249" w:rsidRDefault="003B56AF" w:rsidP="00680249">
      <w:pPr>
        <w:pStyle w:val="NormalWeb"/>
        <w:spacing w:after="0" w:afterAutospacing="0" w:line="360" w:lineRule="auto"/>
        <w:jc w:val="both"/>
        <w:rPr>
          <w:bCs/>
          <w:color w:val="000000"/>
        </w:rPr>
      </w:pPr>
      <w:r w:rsidRPr="00680249">
        <w:rPr>
          <w:bCs/>
          <w:color w:val="000000"/>
        </w:rPr>
        <w:t>This choice, however, may in substantial content be limited by more extensive social factors including the interests relating to the safety of the population, the transportation system, and the workplace bullying. Although these clauses are intended to provide safer working conditions, the demand of written consent has also been a controversial issue especially in those situations where the employer and the worker may be having an unequal power dynamic with regards to the voluntariness of said consent.</w:t>
      </w:r>
    </w:p>
    <w:p w14:paraId="21AFD7CC" w14:textId="77777777" w:rsidR="003B56AF" w:rsidRPr="00680249" w:rsidRDefault="003B56AF" w:rsidP="00680249">
      <w:pPr>
        <w:pStyle w:val="NormalWeb"/>
        <w:spacing w:after="0" w:afterAutospacing="0" w:line="360" w:lineRule="auto"/>
        <w:jc w:val="both"/>
        <w:rPr>
          <w:bCs/>
          <w:color w:val="000000"/>
        </w:rPr>
      </w:pPr>
      <w:r w:rsidRPr="00680249">
        <w:rPr>
          <w:bCs/>
          <w:color w:val="000000"/>
        </w:rPr>
        <w:t>The Code on Social Security, 2020 also tries to combat the issue of gender inequality by providing social protection to new groups of workers that were previously not covered, such as gig and platform workers. By including such workers into the social security structure, the law acknowledges their contribution to the economy, and attempts to provide guarantees that were previously not granted to the workers. The code as well maintains the twenty six weeks of paid maternity leave. Also, the OSH Code requires that creche facilities be provided in the establishment with a number of fifty workers or more, taking care of childcare issues which often force women to leave the working arena.</w:t>
      </w:r>
    </w:p>
    <w:p w14:paraId="166F6A9D" w14:textId="67C7181C" w:rsidR="00390F6E" w:rsidRPr="00680249" w:rsidRDefault="00CE5EEF" w:rsidP="00680249">
      <w:pPr>
        <w:pStyle w:val="NormalWeb"/>
        <w:spacing w:after="0" w:afterAutospacing="0" w:line="360" w:lineRule="auto"/>
        <w:jc w:val="both"/>
        <w:rPr>
          <w:bCs/>
          <w:color w:val="000000"/>
        </w:rPr>
      </w:pPr>
      <w:r w:rsidRPr="00680249">
        <w:rPr>
          <w:bCs/>
          <w:color w:val="000000"/>
        </w:rPr>
        <w:t xml:space="preserve">Although such steps are progressive, it is still a significant issue of concern whether the labour codes will be implemented. </w:t>
      </w:r>
      <w:r w:rsidR="00390F6E" w:rsidRPr="00680249">
        <w:rPr>
          <w:bCs/>
          <w:color w:val="000000"/>
        </w:rPr>
        <w:t>Reports from early 2026 indicate that although the legislative framework has been established, full operationalization is still underway, with implementation expected to be completed by April 2026</w:t>
      </w:r>
      <w:r w:rsidR="00CC69AB" w:rsidRPr="00680249">
        <w:rPr>
          <w:bCs/>
          <w:color w:val="000000"/>
        </w:rPr>
        <w:t>.</w:t>
      </w:r>
      <w:r w:rsidR="00CC69AB" w:rsidRPr="00680249">
        <w:rPr>
          <w:rStyle w:val="FootnoteReference"/>
          <w:bCs/>
          <w:color w:val="000000"/>
        </w:rPr>
        <w:footnoteReference w:id="14"/>
      </w:r>
      <w:r w:rsidR="00390F6E" w:rsidRPr="00680249">
        <w:rPr>
          <w:bCs/>
          <w:color w:val="000000"/>
        </w:rPr>
        <w:t xml:space="preserve"> </w:t>
      </w:r>
      <w:r w:rsidRPr="00680249">
        <w:rPr>
          <w:bCs/>
          <w:color w:val="000000"/>
        </w:rPr>
        <w:t>Although the codes are expected to offer better opportunities and protections to women workers, the delays in the process of rule-making, administrative willingness, and the enforcement potential are likely to restrict the effective implementation of the codes.</w:t>
      </w:r>
    </w:p>
    <w:p w14:paraId="4B59B518" w14:textId="4BC6C875" w:rsidR="00390F6E" w:rsidRPr="00680249" w:rsidRDefault="00CE5EEF" w:rsidP="00680249">
      <w:pPr>
        <w:pStyle w:val="NormalWeb"/>
        <w:spacing w:after="0" w:afterAutospacing="0" w:line="360" w:lineRule="auto"/>
        <w:jc w:val="both"/>
        <w:rPr>
          <w:bCs/>
          <w:color w:val="000000"/>
        </w:rPr>
      </w:pPr>
      <w:r w:rsidRPr="00680249">
        <w:rPr>
          <w:bCs/>
          <w:color w:val="000000"/>
        </w:rPr>
        <w:t>The codes do not allow gender based discrimination but in the end its success is based on available mechanisms of redressing grievances and high enforcement of the regulations. Most of the women employees, particularly those in informal or precarious jobs do not have a legal consciousness or institutional assistance to take complaints. As a result, although the new codes of labour in India provide a significant platform of formal equality, the achievement of true gender justice will rely on the proper application of codes, powerful monitoring and also the way women can be empowered in the labour market.</w:t>
      </w:r>
      <w:r w:rsidRPr="00680249">
        <w:rPr>
          <w:bCs/>
          <w:color w:val="000000"/>
        </w:rPr>
        <w:t xml:space="preserve"> </w:t>
      </w:r>
      <w:r w:rsidR="00390F6E" w:rsidRPr="00680249">
        <w:rPr>
          <w:bCs/>
          <w:color w:val="000000"/>
        </w:rPr>
        <w:t>As of February 2026, these reforms should therefore be viewed as part of an ongoing transformation rather than a completed achievement.</w:t>
      </w:r>
      <w:r w:rsidR="00D14376" w:rsidRPr="00680249">
        <w:rPr>
          <w:rStyle w:val="FootnoteReference"/>
          <w:bCs/>
          <w:color w:val="000000"/>
        </w:rPr>
        <w:footnoteReference w:id="15"/>
      </w:r>
    </w:p>
    <w:p w14:paraId="41E9DC92" w14:textId="45EB4E74" w:rsidR="00611FFF" w:rsidRPr="00680249" w:rsidRDefault="009D1A1E" w:rsidP="00680249">
      <w:pPr>
        <w:pStyle w:val="Heading1"/>
        <w:spacing w:line="360" w:lineRule="auto"/>
        <w:jc w:val="both"/>
        <w:rPr>
          <w:rFonts w:eastAsia="Times New Roman" w:cs="Times New Roman"/>
          <w:color w:val="000000"/>
          <w:sz w:val="24"/>
          <w:szCs w:val="24"/>
        </w:rPr>
      </w:pPr>
      <w:r w:rsidRPr="00680249">
        <w:rPr>
          <w:rFonts w:cs="Times New Roman"/>
          <w:color w:val="000000"/>
          <w:sz w:val="24"/>
          <w:szCs w:val="24"/>
        </w:rPr>
        <w:t xml:space="preserve">B. </w:t>
      </w:r>
      <w:r w:rsidR="00611FFF" w:rsidRPr="00680249">
        <w:rPr>
          <w:rFonts w:cs="Times New Roman"/>
          <w:color w:val="000000"/>
          <w:sz w:val="24"/>
          <w:szCs w:val="24"/>
        </w:rPr>
        <w:t>Substantive Inequality in Labour Provisions: A Gender Perspective</w:t>
      </w:r>
    </w:p>
    <w:p w14:paraId="43BFA514" w14:textId="72549917" w:rsidR="00611FFF" w:rsidRPr="00680249" w:rsidRDefault="003F52AB" w:rsidP="00680249">
      <w:pPr>
        <w:spacing w:after="0" w:line="360" w:lineRule="auto"/>
        <w:jc w:val="both"/>
        <w:rPr>
          <w:rFonts w:ascii="Times New Roman" w:hAnsi="Times New Roman" w:cs="Times New Roman"/>
          <w:color w:val="000000"/>
          <w:sz w:val="24"/>
          <w:szCs w:val="24"/>
        </w:rPr>
      </w:pPr>
      <w:r w:rsidRPr="00680249">
        <w:rPr>
          <w:rFonts w:ascii="Times New Roman" w:eastAsia="Microsoft YaHei" w:hAnsi="Times New Roman" w:cs="Times New Roman"/>
          <w:bCs/>
          <w:color w:val="000000"/>
          <w:sz w:val="24"/>
          <w:szCs w:val="24"/>
          <w:lang w:val="en-IN" w:eastAsia="en-GB"/>
        </w:rPr>
        <w:t xml:space="preserve">The discussion of the New Labour Codes in India shows that there has always been a conflict between the formal legal neutrality on the one hand and the substantive inequality on the other. Even though the unification of labour </w:t>
      </w:r>
      <w:r w:rsidRPr="00680249">
        <w:rPr>
          <w:rFonts w:ascii="Times New Roman" w:eastAsia="Microsoft YaHei" w:hAnsi="Times New Roman" w:cs="Times New Roman"/>
          <w:bCs/>
          <w:color w:val="000000"/>
          <w:sz w:val="24"/>
          <w:szCs w:val="24"/>
          <w:lang w:val="en-IN" w:eastAsia="en-GB"/>
        </w:rPr>
        <w:lastRenderedPageBreak/>
        <w:t xml:space="preserve">laws was meant to streamline the regulatory environments and to create more labour protection, a gender-sensitive critique of such reforms may hold that these legislative changes mostly exist in the paradigm of formal equality. This model also presumes that equal treatment under the law will yield equal results but in many instances that structural injustice that faces women into employment and retention is disregarded. </w:t>
      </w:r>
    </w:p>
    <w:p w14:paraId="6B4BB099" w14:textId="77777777" w:rsidR="009D1A1E" w:rsidRPr="00680249" w:rsidRDefault="009D1A1E" w:rsidP="00680249">
      <w:pPr>
        <w:spacing w:after="0" w:line="360" w:lineRule="auto"/>
        <w:jc w:val="both"/>
        <w:rPr>
          <w:rFonts w:ascii="Times New Roman" w:eastAsia="Microsoft YaHei" w:hAnsi="Times New Roman" w:cs="Times New Roman"/>
          <w:bCs/>
          <w:color w:val="000000"/>
          <w:sz w:val="24"/>
          <w:szCs w:val="24"/>
          <w:lang w:val="en-IN" w:eastAsia="en-GB"/>
        </w:rPr>
      </w:pPr>
    </w:p>
    <w:p w14:paraId="2A2CDA84" w14:textId="18B8E9CE" w:rsidR="00611FFF" w:rsidRPr="00680249" w:rsidRDefault="003F52AB" w:rsidP="00680249">
      <w:pPr>
        <w:spacing w:after="0" w:line="360" w:lineRule="auto"/>
        <w:jc w:val="both"/>
        <w:rPr>
          <w:rFonts w:ascii="Times New Roman" w:hAnsi="Times New Roman" w:cs="Times New Roman"/>
          <w:bCs/>
          <w:color w:val="000000"/>
          <w:sz w:val="24"/>
          <w:szCs w:val="24"/>
        </w:rPr>
      </w:pPr>
      <w:r w:rsidRPr="00680249">
        <w:rPr>
          <w:rFonts w:ascii="Times New Roman" w:eastAsia="Microsoft YaHei" w:hAnsi="Times New Roman" w:cs="Times New Roman"/>
          <w:bCs/>
          <w:color w:val="000000"/>
          <w:sz w:val="24"/>
          <w:szCs w:val="24"/>
          <w:lang w:val="en-IN" w:eastAsia="en-GB"/>
        </w:rPr>
        <w:t>The gender inequality in the labour force participation is one of the most evident signs of substantive inequality. Statistics on 2022-23 show a dismal gap: the Male Labour Force participative rate is about 78.5 percent, and Female Labour Force participative rate is about 37 percent. Such inequality is not only a display of historical inequity but it is also a systemic restriction of economic involvement of women. This disparity is even worse as measured by the position of India in the world.</w:t>
      </w:r>
      <w:r w:rsidRPr="00680249">
        <w:rPr>
          <w:rFonts w:ascii="Times New Roman" w:eastAsia="Microsoft YaHei" w:hAnsi="Times New Roman" w:cs="Times New Roman"/>
          <w:bCs/>
          <w:color w:val="000000"/>
          <w:sz w:val="24"/>
          <w:szCs w:val="24"/>
          <w:lang w:val="en-IN" w:eastAsia="en-GB"/>
        </w:rPr>
        <w:t xml:space="preserve"> </w:t>
      </w:r>
      <w:r w:rsidR="00611FFF" w:rsidRPr="00680249">
        <w:rPr>
          <w:rFonts w:ascii="Times New Roman" w:hAnsi="Times New Roman" w:cs="Times New Roman"/>
          <w:bCs/>
          <w:color w:val="000000"/>
          <w:sz w:val="24"/>
          <w:szCs w:val="24"/>
        </w:rPr>
        <w:t>According to the</w:t>
      </w:r>
      <w:r w:rsidR="00611FFF" w:rsidRPr="00680249">
        <w:rPr>
          <w:rStyle w:val="apple-converted-space"/>
          <w:rFonts w:ascii="Times New Roman" w:hAnsi="Times New Roman" w:cs="Times New Roman"/>
          <w:bCs/>
          <w:color w:val="000000"/>
          <w:sz w:val="24"/>
          <w:szCs w:val="24"/>
        </w:rPr>
        <w:t> </w:t>
      </w:r>
      <w:r w:rsidR="00611FFF" w:rsidRPr="00680249">
        <w:rPr>
          <w:rStyle w:val="Strong"/>
          <w:rFonts w:ascii="Times New Roman" w:hAnsi="Times New Roman" w:cs="Times New Roman"/>
          <w:b w:val="0"/>
          <w:color w:val="000000"/>
          <w:sz w:val="24"/>
          <w:szCs w:val="24"/>
        </w:rPr>
        <w:t>Global Gender Gap Report 2025</w:t>
      </w:r>
      <w:r w:rsidR="00611FFF" w:rsidRPr="00680249">
        <w:rPr>
          <w:rFonts w:ascii="Times New Roman" w:hAnsi="Times New Roman" w:cs="Times New Roman"/>
          <w:bCs/>
          <w:color w:val="000000"/>
          <w:sz w:val="24"/>
          <w:szCs w:val="24"/>
        </w:rPr>
        <w:t>, India ranked</w:t>
      </w:r>
      <w:r w:rsidR="00611FFF" w:rsidRPr="00680249">
        <w:rPr>
          <w:rStyle w:val="apple-converted-space"/>
          <w:rFonts w:ascii="Times New Roman" w:hAnsi="Times New Roman" w:cs="Times New Roman"/>
          <w:bCs/>
          <w:color w:val="000000"/>
          <w:sz w:val="24"/>
          <w:szCs w:val="24"/>
        </w:rPr>
        <w:t> </w:t>
      </w:r>
      <w:r w:rsidR="00611FFF" w:rsidRPr="00680249">
        <w:rPr>
          <w:rStyle w:val="Strong"/>
          <w:rFonts w:ascii="Times New Roman" w:hAnsi="Times New Roman" w:cs="Times New Roman"/>
          <w:b w:val="0"/>
          <w:color w:val="000000"/>
          <w:sz w:val="24"/>
          <w:szCs w:val="24"/>
        </w:rPr>
        <w:t>131st globally</w:t>
      </w:r>
      <w:r w:rsidR="00611FFF" w:rsidRPr="00680249">
        <w:rPr>
          <w:rFonts w:ascii="Times New Roman" w:hAnsi="Times New Roman" w:cs="Times New Roman"/>
          <w:bCs/>
          <w:color w:val="000000"/>
          <w:sz w:val="24"/>
          <w:szCs w:val="24"/>
        </w:rPr>
        <w:t>, with economic participation and opportunity identified as major areas of concern.</w:t>
      </w:r>
      <w:r w:rsidR="00407C57" w:rsidRPr="00680249">
        <w:rPr>
          <w:rStyle w:val="FootnoteReference"/>
          <w:rFonts w:ascii="Times New Roman" w:hAnsi="Times New Roman" w:cs="Times New Roman"/>
          <w:bCs/>
          <w:color w:val="000000"/>
          <w:sz w:val="24"/>
          <w:szCs w:val="24"/>
        </w:rPr>
        <w:footnoteReference w:id="16"/>
      </w:r>
    </w:p>
    <w:p w14:paraId="3700709A" w14:textId="77777777" w:rsidR="009D1A1E" w:rsidRPr="00680249" w:rsidRDefault="009D1A1E" w:rsidP="00680249">
      <w:pPr>
        <w:spacing w:after="0" w:line="360" w:lineRule="auto"/>
        <w:jc w:val="both"/>
        <w:rPr>
          <w:rFonts w:ascii="Times New Roman" w:eastAsia="Microsoft YaHei" w:hAnsi="Times New Roman" w:cs="Times New Roman"/>
          <w:bCs/>
          <w:color w:val="000000"/>
          <w:sz w:val="24"/>
          <w:szCs w:val="24"/>
          <w:lang w:val="en-IN" w:eastAsia="en-GB"/>
        </w:rPr>
      </w:pPr>
    </w:p>
    <w:p w14:paraId="71FC9F08" w14:textId="77777777" w:rsidR="00E17356" w:rsidRDefault="00092696" w:rsidP="00680249">
      <w:pPr>
        <w:spacing w:after="0" w:line="360" w:lineRule="auto"/>
        <w:jc w:val="both"/>
        <w:rPr>
          <w:rFonts w:ascii="Times New Roman" w:eastAsia="Microsoft YaHei" w:hAnsi="Times New Roman" w:cs="Times New Roman"/>
          <w:bCs/>
          <w:color w:val="000000"/>
          <w:sz w:val="24"/>
          <w:szCs w:val="24"/>
          <w:lang w:val="en-IN" w:eastAsia="en-GB"/>
        </w:rPr>
      </w:pPr>
      <w:r w:rsidRPr="00680249">
        <w:rPr>
          <w:rFonts w:ascii="Times New Roman" w:eastAsia="Microsoft YaHei" w:hAnsi="Times New Roman" w:cs="Times New Roman"/>
          <w:bCs/>
          <w:color w:val="000000"/>
          <w:sz w:val="24"/>
          <w:szCs w:val="24"/>
          <w:lang w:val="en-IN" w:eastAsia="en-GB"/>
        </w:rPr>
        <w:t xml:space="preserve">Structural barriers that are placed in social and institutional structures also create substantive inequality. The imbalance in the unpaid care work has been one of the greatest challenges that the New Labour Codes have not been able to handle. The labour model explicitly presupposes an employee that is completely free of market engagement, a paradigm that has traditionally been more equivalent to the male employment patterns. </w:t>
      </w:r>
    </w:p>
    <w:p w14:paraId="48C2A13B" w14:textId="77777777" w:rsidR="009E0350" w:rsidRDefault="009E0350" w:rsidP="00680249">
      <w:pPr>
        <w:spacing w:after="0" w:line="360" w:lineRule="auto"/>
        <w:jc w:val="both"/>
        <w:rPr>
          <w:rFonts w:ascii="Times New Roman" w:eastAsia="Microsoft YaHei" w:hAnsi="Times New Roman" w:cs="Times New Roman"/>
          <w:bCs/>
          <w:color w:val="000000"/>
          <w:sz w:val="24"/>
          <w:szCs w:val="24"/>
          <w:lang w:val="en-IN" w:eastAsia="en-GB"/>
        </w:rPr>
      </w:pPr>
    </w:p>
    <w:p w14:paraId="15C7C329" w14:textId="44BAAE6F" w:rsidR="00611FFF" w:rsidRPr="00680249" w:rsidRDefault="00092696" w:rsidP="00680249">
      <w:pPr>
        <w:spacing w:after="0" w:line="360" w:lineRule="auto"/>
        <w:jc w:val="both"/>
        <w:rPr>
          <w:rFonts w:ascii="Times New Roman" w:hAnsi="Times New Roman" w:cs="Times New Roman"/>
          <w:bCs/>
          <w:color w:val="000000"/>
          <w:sz w:val="24"/>
          <w:szCs w:val="24"/>
        </w:rPr>
      </w:pPr>
      <w:r w:rsidRPr="00680249">
        <w:rPr>
          <w:rFonts w:ascii="Times New Roman" w:eastAsia="Microsoft YaHei" w:hAnsi="Times New Roman" w:cs="Times New Roman"/>
          <w:bCs/>
          <w:color w:val="000000"/>
          <w:sz w:val="24"/>
          <w:szCs w:val="24"/>
          <w:lang w:val="en-IN" w:eastAsia="en-GB"/>
        </w:rPr>
        <w:t xml:space="preserve">Nevertheless, women still take an unequal responsibility burden of domestic chores, childcare, and eldercare. Women are not always able to engage fully in the labour market due to mobility limitation and childcare obligations. </w:t>
      </w:r>
      <w:r w:rsidR="00611FFF" w:rsidRPr="00680249">
        <w:rPr>
          <w:rFonts w:ascii="Times New Roman" w:hAnsi="Times New Roman" w:cs="Times New Roman"/>
          <w:bCs/>
          <w:color w:val="000000"/>
          <w:sz w:val="24"/>
          <w:szCs w:val="24"/>
        </w:rPr>
        <w:t xml:space="preserve">Although the New </w:t>
      </w:r>
      <w:proofErr w:type="spellStart"/>
      <w:r w:rsidR="00611FFF" w:rsidRPr="00680249">
        <w:rPr>
          <w:rFonts w:ascii="Times New Roman" w:hAnsi="Times New Roman" w:cs="Times New Roman"/>
          <w:bCs/>
          <w:color w:val="000000"/>
          <w:sz w:val="24"/>
          <w:szCs w:val="24"/>
        </w:rPr>
        <w:t>Labour</w:t>
      </w:r>
      <w:proofErr w:type="spellEnd"/>
      <w:r w:rsidR="00611FFF" w:rsidRPr="00680249">
        <w:rPr>
          <w:rFonts w:ascii="Times New Roman" w:hAnsi="Times New Roman" w:cs="Times New Roman"/>
          <w:bCs/>
          <w:color w:val="000000"/>
          <w:sz w:val="24"/>
          <w:szCs w:val="24"/>
        </w:rPr>
        <w:t xml:space="preserve"> Codes introduce provisions relating to maternity benefits and workplace crèche facilities, these benefits primarily apply to formal sector establishments, leaving many women working in informal sectors outside their scope of protection</w:t>
      </w:r>
      <w:r w:rsidR="00595AB5" w:rsidRPr="00680249">
        <w:rPr>
          <w:rFonts w:ascii="Times New Roman" w:hAnsi="Times New Roman" w:cs="Times New Roman"/>
          <w:bCs/>
          <w:color w:val="000000"/>
          <w:sz w:val="24"/>
          <w:szCs w:val="24"/>
        </w:rPr>
        <w:t>.</w:t>
      </w:r>
      <w:r w:rsidR="00595AB5" w:rsidRPr="00680249">
        <w:rPr>
          <w:rStyle w:val="FootnoteReference"/>
          <w:rFonts w:ascii="Times New Roman" w:hAnsi="Times New Roman" w:cs="Times New Roman"/>
          <w:bCs/>
          <w:color w:val="000000"/>
          <w:sz w:val="24"/>
          <w:szCs w:val="24"/>
        </w:rPr>
        <w:footnoteReference w:id="17"/>
      </w:r>
    </w:p>
    <w:p w14:paraId="5CCD2C71" w14:textId="77777777" w:rsidR="009D1A1E" w:rsidRPr="00680249" w:rsidRDefault="009D1A1E" w:rsidP="00680249">
      <w:pPr>
        <w:spacing w:after="0" w:line="360" w:lineRule="auto"/>
        <w:jc w:val="both"/>
        <w:rPr>
          <w:rFonts w:ascii="Times New Roman" w:eastAsia="Microsoft YaHei" w:hAnsi="Times New Roman" w:cs="Times New Roman"/>
          <w:bCs/>
          <w:color w:val="000000"/>
          <w:sz w:val="24"/>
          <w:szCs w:val="24"/>
          <w:lang w:val="en-IN" w:eastAsia="en-GB"/>
        </w:rPr>
      </w:pPr>
    </w:p>
    <w:p w14:paraId="750802E4" w14:textId="77777777" w:rsidR="00092696" w:rsidRPr="00680249" w:rsidRDefault="00092696" w:rsidP="00680249">
      <w:pPr>
        <w:spacing w:after="0" w:line="360" w:lineRule="auto"/>
        <w:jc w:val="both"/>
        <w:rPr>
          <w:rFonts w:ascii="Times New Roman" w:eastAsia="Microsoft YaHei" w:hAnsi="Times New Roman" w:cs="Times New Roman"/>
          <w:bCs/>
          <w:color w:val="000000"/>
          <w:sz w:val="24"/>
          <w:szCs w:val="24"/>
          <w:lang w:val="en-IN" w:eastAsia="en-GB"/>
        </w:rPr>
      </w:pPr>
      <w:r w:rsidRPr="00680249">
        <w:rPr>
          <w:rFonts w:ascii="Times New Roman" w:eastAsia="Microsoft YaHei" w:hAnsi="Times New Roman" w:cs="Times New Roman"/>
          <w:bCs/>
          <w:color w:val="000000"/>
          <w:sz w:val="24"/>
          <w:szCs w:val="24"/>
          <w:lang w:val="en-IN" w:eastAsia="en-GB"/>
        </w:rPr>
        <w:t xml:space="preserve">The other aspect of substantive inequality occurs because of implementation problems around increasing access of women to previously closed spheres. Legal changes have now allowed women to be employed in sectors that used to be closed to them such as night shifts and other manufacturing industries. Even though this expansion can theoretically boost economic opportunities, it has also spawned fears about compliance costs to the employer, especially those operating in the Micro, Small and Medium Enterprises (MSMEs). When employers find the safety and welfare needs to be costly, they might be unwilling to hire female employees, which will automatically restrict women in terms of employment. </w:t>
      </w:r>
    </w:p>
    <w:p w14:paraId="0E82EB21" w14:textId="77777777" w:rsidR="009D1A1E" w:rsidRPr="00680249" w:rsidRDefault="009D1A1E" w:rsidP="00680249">
      <w:pPr>
        <w:spacing w:after="0" w:line="360" w:lineRule="auto"/>
        <w:jc w:val="both"/>
        <w:rPr>
          <w:rFonts w:ascii="Times New Roman" w:eastAsia="Microsoft YaHei" w:hAnsi="Times New Roman" w:cs="Times New Roman"/>
          <w:bCs/>
          <w:color w:val="000000"/>
          <w:sz w:val="24"/>
          <w:szCs w:val="24"/>
          <w:lang w:val="en-IN" w:eastAsia="en-GB"/>
        </w:rPr>
      </w:pPr>
    </w:p>
    <w:p w14:paraId="3D7B5318" w14:textId="34509154" w:rsidR="003F52AB" w:rsidRPr="00680249" w:rsidRDefault="003F52AB" w:rsidP="00680249">
      <w:pPr>
        <w:spacing w:after="0" w:line="360" w:lineRule="auto"/>
        <w:jc w:val="both"/>
        <w:rPr>
          <w:rFonts w:ascii="Times New Roman" w:eastAsia="Microsoft YaHei" w:hAnsi="Times New Roman" w:cs="Times New Roman"/>
          <w:bCs/>
          <w:color w:val="000000"/>
          <w:sz w:val="24"/>
          <w:szCs w:val="24"/>
          <w:lang w:val="en-IN" w:eastAsia="en-GB"/>
        </w:rPr>
      </w:pPr>
      <w:r w:rsidRPr="00680249">
        <w:rPr>
          <w:rFonts w:ascii="Times New Roman" w:eastAsia="Microsoft YaHei" w:hAnsi="Times New Roman" w:cs="Times New Roman"/>
          <w:bCs/>
          <w:color w:val="000000"/>
          <w:sz w:val="24"/>
          <w:szCs w:val="24"/>
          <w:lang w:val="en-IN" w:eastAsia="en-GB"/>
        </w:rPr>
        <w:t xml:space="preserve">In terms of human rights, the success of labour laws is, in the end, reliant on the powerful enforcement provisions. The law that ensures the implementation of equal pay and a ban on discrimination is only important when there is some institutional framework that can oversee the implementation of this law and a system that offers easy redress of grievances. According to a recent world bank study on gender equality in labour markets, there is an </w:t>
      </w:r>
      <w:r w:rsidRPr="00680249">
        <w:rPr>
          <w:rFonts w:ascii="Times New Roman" w:eastAsia="Microsoft YaHei" w:hAnsi="Times New Roman" w:cs="Times New Roman"/>
          <w:bCs/>
          <w:color w:val="000000"/>
          <w:sz w:val="24"/>
          <w:szCs w:val="24"/>
          <w:lang w:val="en-IN" w:eastAsia="en-GB"/>
        </w:rPr>
        <w:lastRenderedPageBreak/>
        <w:t xml:space="preserve">existent gap in the world on the aspect of protection against gender inequality which may exist in several ways, but does not actually occur. </w:t>
      </w:r>
    </w:p>
    <w:p w14:paraId="6FFBBEA6" w14:textId="77777777" w:rsidR="009D1A1E" w:rsidRPr="00680249" w:rsidRDefault="009D1A1E" w:rsidP="00680249">
      <w:pPr>
        <w:spacing w:after="0" w:line="360" w:lineRule="auto"/>
        <w:jc w:val="both"/>
        <w:rPr>
          <w:rFonts w:ascii="Times New Roman" w:eastAsia="Microsoft YaHei" w:hAnsi="Times New Roman" w:cs="Times New Roman"/>
          <w:bCs/>
          <w:color w:val="000000"/>
          <w:sz w:val="24"/>
          <w:szCs w:val="24"/>
          <w:lang w:val="en-IN" w:eastAsia="en-GB"/>
        </w:rPr>
      </w:pPr>
    </w:p>
    <w:p w14:paraId="1EB8A4EB" w14:textId="2BF5DB1F" w:rsidR="003F52AB" w:rsidRPr="00680249" w:rsidRDefault="003F52AB" w:rsidP="00680249">
      <w:pPr>
        <w:spacing w:after="0" w:line="360" w:lineRule="auto"/>
        <w:jc w:val="both"/>
        <w:rPr>
          <w:rFonts w:ascii="Times New Roman" w:eastAsia="Microsoft YaHei" w:hAnsi="Times New Roman" w:cs="Times New Roman"/>
          <w:bCs/>
          <w:color w:val="000000"/>
          <w:sz w:val="24"/>
          <w:szCs w:val="24"/>
          <w:lang w:val="en-IN" w:eastAsia="en-GB"/>
        </w:rPr>
      </w:pPr>
      <w:r w:rsidRPr="00680249">
        <w:rPr>
          <w:rFonts w:ascii="Times New Roman" w:eastAsia="Microsoft YaHei" w:hAnsi="Times New Roman" w:cs="Times New Roman"/>
          <w:bCs/>
          <w:color w:val="000000"/>
          <w:sz w:val="24"/>
          <w:szCs w:val="24"/>
          <w:lang w:val="en-IN" w:eastAsia="en-GB"/>
        </w:rPr>
        <w:t>This enforcement gap is especially relevant in the Indian setting given the size of the informal sector and little control on regulations in most sectors of employment. Strategic obstacles- such as ignorance of the law, economic issues, social costs may not permit women to seek legal redress to a situation of discrimination or exploitation. It follows that, the existence of progressive labour law does not necessarily mean better labour conditions. The issue of safety, such as workplace harassments and the lack of proper transportation systems, also limit women in their movement and occupational decisions.</w:t>
      </w:r>
    </w:p>
    <w:p w14:paraId="21A9340C" w14:textId="77777777" w:rsidR="009D1A1E" w:rsidRPr="00680249" w:rsidRDefault="009D1A1E" w:rsidP="00680249">
      <w:pPr>
        <w:spacing w:after="0" w:line="360" w:lineRule="auto"/>
        <w:jc w:val="both"/>
        <w:rPr>
          <w:rFonts w:ascii="Times New Roman" w:eastAsia="Microsoft YaHei" w:hAnsi="Times New Roman" w:cs="Times New Roman"/>
          <w:bCs/>
          <w:color w:val="000000"/>
          <w:sz w:val="24"/>
          <w:szCs w:val="24"/>
          <w:lang w:val="en-IN" w:eastAsia="en-GB"/>
        </w:rPr>
      </w:pPr>
    </w:p>
    <w:p w14:paraId="2C9B92EE" w14:textId="77777777" w:rsidR="003F52AB" w:rsidRPr="00680249" w:rsidRDefault="003F52AB" w:rsidP="00680249">
      <w:pPr>
        <w:spacing w:after="0" w:line="360" w:lineRule="auto"/>
        <w:jc w:val="both"/>
        <w:rPr>
          <w:rFonts w:ascii="Times New Roman" w:eastAsia="Microsoft YaHei" w:hAnsi="Times New Roman" w:cs="Times New Roman"/>
          <w:bCs/>
          <w:color w:val="000000"/>
          <w:sz w:val="24"/>
          <w:szCs w:val="24"/>
          <w:lang w:val="en-IN" w:eastAsia="en-GB"/>
        </w:rPr>
      </w:pPr>
      <w:r w:rsidRPr="00680249">
        <w:rPr>
          <w:rFonts w:ascii="Times New Roman" w:eastAsia="Microsoft YaHei" w:hAnsi="Times New Roman" w:cs="Times New Roman"/>
          <w:bCs/>
          <w:color w:val="000000"/>
          <w:sz w:val="24"/>
          <w:szCs w:val="24"/>
          <w:lang w:val="en-IN" w:eastAsia="en-GB"/>
        </w:rPr>
        <w:t>Finally, the discussion of the New Labour Codes in India through the lens of substantive inequality proves that no legislative change can bring about gender justice. Women are still restricted in access to the labour force, the strain of unpaid care, enforcement issues and possible safety hazards, all of which persist in limiting women to economic participation. Although the labour codes form a significant move in modernising the labour law in India, successful implementation, institutional responsibility, and overall change in the society will determine their success in enhancing gender equality.</w:t>
      </w:r>
    </w:p>
    <w:p w14:paraId="19C81AF8" w14:textId="676079D8" w:rsidR="00733862" w:rsidRPr="00680249" w:rsidRDefault="00733862" w:rsidP="00680249">
      <w:pPr>
        <w:spacing w:after="0" w:line="360" w:lineRule="auto"/>
        <w:jc w:val="both"/>
        <w:rPr>
          <w:rFonts w:ascii="Times New Roman" w:eastAsia="Microsoft YaHei" w:hAnsi="Times New Roman" w:cs="Times New Roman"/>
          <w:bCs/>
          <w:color w:val="000000"/>
          <w:sz w:val="24"/>
          <w:szCs w:val="24"/>
          <w:lang w:val="en-IN" w:eastAsia="en-GB"/>
        </w:rPr>
      </w:pPr>
    </w:p>
    <w:p w14:paraId="000A512D" w14:textId="4EDC63C4" w:rsidR="006B5396" w:rsidRPr="00680249" w:rsidRDefault="009D1A1E" w:rsidP="00680249">
      <w:pPr>
        <w:spacing w:after="0" w:line="360" w:lineRule="auto"/>
        <w:jc w:val="both"/>
        <w:rPr>
          <w:rFonts w:ascii="Times New Roman" w:eastAsia="Microsoft YaHei" w:hAnsi="Times New Roman" w:cs="Times New Roman"/>
          <w:bCs/>
          <w:color w:val="000000"/>
          <w:kern w:val="36"/>
          <w:sz w:val="24"/>
          <w:szCs w:val="24"/>
          <w:lang w:val="en-IN" w:eastAsia="en-GB"/>
        </w:rPr>
      </w:pPr>
      <w:r w:rsidRPr="00680249">
        <w:rPr>
          <w:rFonts w:ascii="Times New Roman" w:hAnsi="Times New Roman" w:cs="Times New Roman"/>
          <w:b/>
          <w:color w:val="000000"/>
          <w:sz w:val="24"/>
          <w:szCs w:val="24"/>
        </w:rPr>
        <w:t>V. HUMAN RIGHTS LENS: EVALUATING LABOUR CODES AND GENDER JUSTICE</w:t>
      </w:r>
    </w:p>
    <w:p w14:paraId="46188A0F" w14:textId="77777777" w:rsidR="005E32B1" w:rsidRPr="00680249" w:rsidRDefault="005E32B1" w:rsidP="00680249">
      <w:pPr>
        <w:spacing w:after="0" w:line="360" w:lineRule="auto"/>
        <w:jc w:val="both"/>
        <w:rPr>
          <w:rFonts w:ascii="Times New Roman" w:eastAsiaTheme="majorEastAsia" w:hAnsi="Times New Roman" w:cs="Times New Roman"/>
          <w:bCs/>
          <w:color w:val="000000"/>
          <w:sz w:val="24"/>
          <w:szCs w:val="24"/>
          <w:lang w:val="en-IN" w:eastAsia="en-GB"/>
        </w:rPr>
      </w:pPr>
      <w:r w:rsidRPr="00680249">
        <w:rPr>
          <w:rFonts w:ascii="Times New Roman" w:eastAsiaTheme="majorEastAsia" w:hAnsi="Times New Roman" w:cs="Times New Roman"/>
          <w:bCs/>
          <w:color w:val="000000"/>
          <w:sz w:val="24"/>
          <w:szCs w:val="24"/>
          <w:lang w:val="en-IN" w:eastAsia="en-GB"/>
        </w:rPr>
        <w:t>In spite of these liberal provisions, the shift towards formal equality to substantive gender justice is a complicated one. Although the liberation of law prospects are expanding the hypothetical fields of employment, the reality on the social and economic field often renders the exercise of these rights by women impractical. In this case, e.g., the night-shift employment should be provided with the written consent which, in turn, is aimed at the protection of the worker autonomy, however, in the situation of unequal bargaining power, this consent does not necessarily imply the voluntary one. Current labour market statistics show that gender pay differentials still live strongly in such sectors as information technology and education which shows that legislative assurances can never eradicate such highly institutionalized forms of inequality.</w:t>
      </w:r>
    </w:p>
    <w:p w14:paraId="3C3259B4" w14:textId="77777777" w:rsidR="009D1A1E" w:rsidRPr="00680249" w:rsidRDefault="009D1A1E" w:rsidP="00680249">
      <w:pPr>
        <w:spacing w:after="0" w:line="360" w:lineRule="auto"/>
        <w:jc w:val="both"/>
        <w:rPr>
          <w:rFonts w:ascii="Times New Roman" w:eastAsiaTheme="majorEastAsia" w:hAnsi="Times New Roman" w:cs="Times New Roman"/>
          <w:bCs/>
          <w:color w:val="000000"/>
          <w:sz w:val="24"/>
          <w:szCs w:val="24"/>
          <w:lang w:val="en-IN" w:eastAsia="en-GB"/>
        </w:rPr>
      </w:pPr>
    </w:p>
    <w:p w14:paraId="382FDC75" w14:textId="3727A48A" w:rsidR="006B5396" w:rsidRPr="00680249" w:rsidRDefault="005E32B1" w:rsidP="00680249">
      <w:pPr>
        <w:spacing w:after="0" w:line="360" w:lineRule="auto"/>
        <w:jc w:val="both"/>
        <w:rPr>
          <w:rFonts w:ascii="Times New Roman" w:eastAsiaTheme="majorEastAsia" w:hAnsi="Times New Roman" w:cs="Times New Roman"/>
          <w:bCs/>
          <w:color w:val="000000"/>
          <w:sz w:val="24"/>
          <w:szCs w:val="24"/>
          <w:lang w:val="en-IN" w:eastAsia="en-GB"/>
        </w:rPr>
      </w:pPr>
      <w:r w:rsidRPr="00680249">
        <w:rPr>
          <w:rFonts w:ascii="Times New Roman" w:eastAsiaTheme="majorEastAsia" w:hAnsi="Times New Roman" w:cs="Times New Roman"/>
          <w:bCs/>
          <w:color w:val="000000"/>
          <w:sz w:val="24"/>
          <w:szCs w:val="24"/>
          <w:lang w:val="en-IN" w:eastAsia="en-GB"/>
        </w:rPr>
        <w:t xml:space="preserve">The labour codes have major human rights implications which are especially relevant to employees which work in the informal sector of India as a significant percentage of employees there are women. </w:t>
      </w:r>
      <w:r w:rsidR="006B5396" w:rsidRPr="00680249">
        <w:rPr>
          <w:rFonts w:ascii="Times New Roman" w:hAnsi="Times New Roman" w:cs="Times New Roman"/>
          <w:bCs/>
          <w:color w:val="000000"/>
          <w:sz w:val="24"/>
          <w:szCs w:val="24"/>
        </w:rPr>
        <w:t>Although the</w:t>
      </w:r>
      <w:r w:rsidR="006B5396" w:rsidRPr="00680249">
        <w:rPr>
          <w:rStyle w:val="apple-converted-space"/>
          <w:rFonts w:ascii="Times New Roman" w:hAnsi="Times New Roman" w:cs="Times New Roman"/>
          <w:bCs/>
          <w:color w:val="000000"/>
          <w:sz w:val="24"/>
          <w:szCs w:val="24"/>
        </w:rPr>
        <w:t> </w:t>
      </w:r>
      <w:r w:rsidR="006B5396" w:rsidRPr="00680249">
        <w:rPr>
          <w:rStyle w:val="Strong"/>
          <w:rFonts w:ascii="Times New Roman" w:hAnsi="Times New Roman" w:cs="Times New Roman"/>
          <w:b w:val="0"/>
          <w:color w:val="000000"/>
          <w:sz w:val="24"/>
          <w:szCs w:val="24"/>
        </w:rPr>
        <w:t>Code on Social Security, 2020</w:t>
      </w:r>
      <w:r w:rsidR="006B5396" w:rsidRPr="00680249">
        <w:rPr>
          <w:rStyle w:val="apple-converted-space"/>
          <w:rFonts w:ascii="Times New Roman" w:hAnsi="Times New Roman" w:cs="Times New Roman"/>
          <w:bCs/>
          <w:color w:val="000000"/>
          <w:sz w:val="24"/>
          <w:szCs w:val="24"/>
        </w:rPr>
        <w:t> </w:t>
      </w:r>
      <w:r w:rsidR="006B5396" w:rsidRPr="00680249">
        <w:rPr>
          <w:rFonts w:ascii="Times New Roman" w:hAnsi="Times New Roman" w:cs="Times New Roman"/>
          <w:bCs/>
          <w:color w:val="000000"/>
          <w:sz w:val="24"/>
          <w:szCs w:val="24"/>
        </w:rPr>
        <w:t>expands coverage to gig and platform workers, the practical enforcement of these protections remains uncertain.</w:t>
      </w:r>
      <w:r w:rsidR="00C846FD" w:rsidRPr="00680249">
        <w:rPr>
          <w:rStyle w:val="FootnoteReference"/>
          <w:rFonts w:ascii="Times New Roman" w:hAnsi="Times New Roman" w:cs="Times New Roman"/>
          <w:bCs/>
          <w:color w:val="000000"/>
          <w:sz w:val="24"/>
          <w:szCs w:val="24"/>
        </w:rPr>
        <w:footnoteReference w:id="18"/>
      </w:r>
      <w:r w:rsidR="00C846FD" w:rsidRPr="00680249">
        <w:rPr>
          <w:rFonts w:ascii="Times New Roman" w:hAnsi="Times New Roman" w:cs="Times New Roman"/>
          <w:bCs/>
          <w:color w:val="000000"/>
          <w:sz w:val="24"/>
          <w:szCs w:val="24"/>
        </w:rPr>
        <w:t xml:space="preserve"> </w:t>
      </w:r>
      <w:r w:rsidR="006B5396" w:rsidRPr="00680249">
        <w:rPr>
          <w:rFonts w:ascii="Times New Roman" w:hAnsi="Times New Roman" w:cs="Times New Roman"/>
          <w:bCs/>
          <w:color w:val="000000"/>
          <w:sz w:val="24"/>
          <w:szCs w:val="24"/>
        </w:rPr>
        <w:t>Informal employment relationships often lack written contracts, stable wages, and regulatory oversight, limiting the effectiveness of statutory protections.</w:t>
      </w:r>
    </w:p>
    <w:p w14:paraId="349599B7" w14:textId="77777777" w:rsidR="009D1A1E" w:rsidRPr="00680249" w:rsidRDefault="009D1A1E" w:rsidP="00680249">
      <w:pPr>
        <w:spacing w:after="0" w:line="360" w:lineRule="auto"/>
        <w:jc w:val="both"/>
        <w:rPr>
          <w:rFonts w:ascii="Times New Roman" w:eastAsiaTheme="majorEastAsia" w:hAnsi="Times New Roman" w:cs="Times New Roman"/>
          <w:bCs/>
          <w:color w:val="000000"/>
          <w:sz w:val="24"/>
          <w:szCs w:val="24"/>
          <w:lang w:val="en-IN" w:eastAsia="en-GB"/>
        </w:rPr>
      </w:pPr>
    </w:p>
    <w:p w14:paraId="0D2B3843" w14:textId="4687C31A" w:rsidR="00DA661B" w:rsidRPr="00680249" w:rsidRDefault="004E2127" w:rsidP="00680249">
      <w:pPr>
        <w:spacing w:after="0" w:line="360" w:lineRule="auto"/>
        <w:jc w:val="both"/>
        <w:rPr>
          <w:rFonts w:ascii="Times New Roman" w:eastAsiaTheme="majorEastAsia" w:hAnsi="Times New Roman" w:cs="Times New Roman"/>
          <w:bCs/>
          <w:color w:val="000000"/>
          <w:sz w:val="24"/>
          <w:szCs w:val="24"/>
          <w:lang w:val="en-IN" w:eastAsia="en-GB"/>
        </w:rPr>
      </w:pPr>
      <w:r w:rsidRPr="00680249">
        <w:rPr>
          <w:rFonts w:ascii="Times New Roman" w:eastAsiaTheme="majorEastAsia" w:hAnsi="Times New Roman" w:cs="Times New Roman"/>
          <w:bCs/>
          <w:color w:val="000000"/>
          <w:sz w:val="24"/>
          <w:szCs w:val="24"/>
          <w:lang w:val="en-IN" w:eastAsia="en-GB"/>
        </w:rPr>
        <w:t xml:space="preserve">To sum up, the new labour codes in India can be viewed as a great modernisation of the labour law system of the country. The abolition of working-age that was in place, acknowledgement of equal pay precepts, and the increase of social security safeguards are significant measures towards official gender equality. Nevertheless, the existence </w:t>
      </w:r>
      <w:r w:rsidRPr="00680249">
        <w:rPr>
          <w:rFonts w:ascii="Times New Roman" w:eastAsiaTheme="majorEastAsia" w:hAnsi="Times New Roman" w:cs="Times New Roman"/>
          <w:bCs/>
          <w:color w:val="000000"/>
          <w:sz w:val="24"/>
          <w:szCs w:val="24"/>
          <w:lang w:val="en-IN" w:eastAsia="en-GB"/>
        </w:rPr>
        <w:lastRenderedPageBreak/>
        <w:t>of systematic wage differentials, constraints on collective organization, and the inherent susceptibility of informal employees reveal the persistent persistence of substantive inequality. The success of such reforms in the long term will be either reliant on successful enforcement, institutional responsibility, and an ongoing review of policies to make sure that economic modernization does not compromise basic labour rights.</w:t>
      </w:r>
    </w:p>
    <w:p w14:paraId="0466E816" w14:textId="77777777" w:rsidR="002028DE" w:rsidRPr="00680249" w:rsidRDefault="002028DE" w:rsidP="00680249">
      <w:pPr>
        <w:spacing w:after="0" w:line="360" w:lineRule="auto"/>
        <w:jc w:val="both"/>
        <w:rPr>
          <w:rFonts w:ascii="Times New Roman" w:eastAsiaTheme="majorEastAsia" w:hAnsi="Times New Roman" w:cs="Times New Roman"/>
          <w:bCs/>
          <w:color w:val="000000"/>
          <w:sz w:val="24"/>
          <w:szCs w:val="24"/>
          <w:lang w:val="en-IN" w:eastAsia="en-GB"/>
        </w:rPr>
      </w:pPr>
    </w:p>
    <w:p w14:paraId="5510EBD7" w14:textId="49200496" w:rsidR="00A91BCA" w:rsidRPr="00680249" w:rsidRDefault="009D1A1E" w:rsidP="00680249">
      <w:pPr>
        <w:pStyle w:val="Heading1"/>
        <w:spacing w:line="360" w:lineRule="auto"/>
        <w:jc w:val="both"/>
        <w:rPr>
          <w:rFonts w:cs="Times New Roman"/>
          <w:color w:val="000000"/>
          <w:sz w:val="24"/>
          <w:szCs w:val="24"/>
        </w:rPr>
      </w:pPr>
      <w:r w:rsidRPr="00680249">
        <w:rPr>
          <w:rFonts w:cs="Times New Roman"/>
          <w:color w:val="000000"/>
          <w:sz w:val="24"/>
          <w:szCs w:val="24"/>
        </w:rPr>
        <w:t>VI. STRATEGIES TO PROMOTE SUBSTANTIVE EQUALITY IN LABOUR POLICIES</w:t>
      </w:r>
    </w:p>
    <w:p w14:paraId="12F7768A" w14:textId="77777777" w:rsidR="00672DC5" w:rsidRPr="00680249" w:rsidRDefault="00672DC5" w:rsidP="00680249">
      <w:pPr>
        <w:spacing w:after="0" w:line="360" w:lineRule="auto"/>
        <w:jc w:val="both"/>
        <w:rPr>
          <w:rFonts w:ascii="Times New Roman" w:hAnsi="Times New Roman" w:cs="Times New Roman"/>
          <w:bCs/>
          <w:color w:val="000000"/>
          <w:sz w:val="24"/>
          <w:szCs w:val="24"/>
        </w:rPr>
      </w:pPr>
      <w:r w:rsidRPr="00680249">
        <w:rPr>
          <w:rFonts w:ascii="Times New Roman" w:hAnsi="Times New Roman" w:cs="Times New Roman"/>
          <w:bCs/>
          <w:color w:val="000000"/>
          <w:sz w:val="24"/>
          <w:szCs w:val="24"/>
        </w:rPr>
        <w:t xml:space="preserve">To close the divide between the formal equality guaranteed by statute and the substantive inequality in the real world, there must be </w:t>
      </w:r>
      <w:proofErr w:type="spellStart"/>
      <w:r w:rsidRPr="00680249">
        <w:rPr>
          <w:rFonts w:ascii="Times New Roman" w:hAnsi="Times New Roman" w:cs="Times New Roman"/>
          <w:bCs/>
          <w:color w:val="000000"/>
          <w:sz w:val="24"/>
          <w:szCs w:val="24"/>
        </w:rPr>
        <w:t>labour</w:t>
      </w:r>
      <w:proofErr w:type="spellEnd"/>
      <w:r w:rsidRPr="00680249">
        <w:rPr>
          <w:rFonts w:ascii="Times New Roman" w:hAnsi="Times New Roman" w:cs="Times New Roman"/>
          <w:bCs/>
          <w:color w:val="000000"/>
          <w:sz w:val="24"/>
          <w:szCs w:val="24"/>
        </w:rPr>
        <w:t xml:space="preserve"> policies under the new </w:t>
      </w:r>
      <w:proofErr w:type="spellStart"/>
      <w:r w:rsidRPr="00680249">
        <w:rPr>
          <w:rFonts w:ascii="Times New Roman" w:hAnsi="Times New Roman" w:cs="Times New Roman"/>
          <w:bCs/>
          <w:color w:val="000000"/>
          <w:sz w:val="24"/>
          <w:szCs w:val="24"/>
        </w:rPr>
        <w:t>Labour</w:t>
      </w:r>
      <w:proofErr w:type="spellEnd"/>
      <w:r w:rsidRPr="00680249">
        <w:rPr>
          <w:rFonts w:ascii="Times New Roman" w:hAnsi="Times New Roman" w:cs="Times New Roman"/>
          <w:bCs/>
          <w:color w:val="000000"/>
          <w:sz w:val="24"/>
          <w:szCs w:val="24"/>
        </w:rPr>
        <w:t xml:space="preserve"> Codes in India introduced in a gender-transformative manner. Rather, it needs specific state intervention that would have a target on structural socio-economic limitations to participation of women in the </w:t>
      </w:r>
      <w:proofErr w:type="spellStart"/>
      <w:r w:rsidRPr="00680249">
        <w:rPr>
          <w:rFonts w:ascii="Times New Roman" w:hAnsi="Times New Roman" w:cs="Times New Roman"/>
          <w:bCs/>
          <w:color w:val="000000"/>
          <w:sz w:val="24"/>
          <w:szCs w:val="24"/>
        </w:rPr>
        <w:t>labour</w:t>
      </w:r>
      <w:proofErr w:type="spellEnd"/>
      <w:r w:rsidRPr="00680249">
        <w:rPr>
          <w:rFonts w:ascii="Times New Roman" w:hAnsi="Times New Roman" w:cs="Times New Roman"/>
          <w:bCs/>
          <w:color w:val="000000"/>
          <w:sz w:val="24"/>
          <w:szCs w:val="24"/>
        </w:rPr>
        <w:t xml:space="preserve"> market. </w:t>
      </w:r>
    </w:p>
    <w:p w14:paraId="533916A8" w14:textId="77777777" w:rsidR="002028DE" w:rsidRPr="00680249" w:rsidRDefault="002028DE" w:rsidP="00680249">
      <w:pPr>
        <w:spacing w:after="0" w:line="360" w:lineRule="auto"/>
        <w:jc w:val="both"/>
        <w:rPr>
          <w:rFonts w:ascii="Times New Roman" w:hAnsi="Times New Roman" w:cs="Times New Roman"/>
          <w:bCs/>
          <w:color w:val="000000"/>
          <w:sz w:val="24"/>
          <w:szCs w:val="24"/>
        </w:rPr>
      </w:pPr>
    </w:p>
    <w:p w14:paraId="4A814732" w14:textId="5587DAD0" w:rsidR="00A91BCA" w:rsidRPr="00680249" w:rsidRDefault="00A91BCA" w:rsidP="00680249">
      <w:pPr>
        <w:spacing w:after="0" w:line="360" w:lineRule="auto"/>
        <w:jc w:val="both"/>
        <w:rPr>
          <w:rFonts w:ascii="Times New Roman" w:hAnsi="Times New Roman" w:cs="Times New Roman"/>
          <w:bCs/>
          <w:color w:val="000000"/>
          <w:sz w:val="24"/>
          <w:szCs w:val="24"/>
        </w:rPr>
      </w:pPr>
      <w:r w:rsidRPr="00680249">
        <w:rPr>
          <w:rFonts w:ascii="Times New Roman" w:hAnsi="Times New Roman" w:cs="Times New Roman"/>
          <w:bCs/>
          <w:color w:val="000000"/>
          <w:sz w:val="24"/>
          <w:szCs w:val="24"/>
        </w:rPr>
        <w:t>Although the</w:t>
      </w:r>
      <w:r w:rsidRPr="00680249">
        <w:rPr>
          <w:rStyle w:val="apple-converted-space"/>
          <w:rFonts w:ascii="Times New Roman" w:hAnsi="Times New Roman" w:cs="Times New Roman"/>
          <w:bCs/>
          <w:color w:val="000000"/>
          <w:sz w:val="24"/>
          <w:szCs w:val="24"/>
        </w:rPr>
        <w:t> </w:t>
      </w:r>
      <w:r w:rsidRPr="00680249">
        <w:rPr>
          <w:rStyle w:val="Strong"/>
          <w:rFonts w:ascii="Times New Roman" w:hAnsi="Times New Roman" w:cs="Times New Roman"/>
          <w:b w:val="0"/>
          <w:color w:val="000000"/>
          <w:sz w:val="24"/>
          <w:szCs w:val="24"/>
        </w:rPr>
        <w:t>Code on Social Security, 2020</w:t>
      </w:r>
      <w:r w:rsidR="00AE75EC" w:rsidRPr="00680249">
        <w:rPr>
          <w:rStyle w:val="Strong"/>
          <w:rFonts w:ascii="Times New Roman" w:eastAsiaTheme="majorEastAsia" w:hAnsi="Times New Roman" w:cs="Times New Roman"/>
          <w:b w:val="0"/>
          <w:color w:val="000000"/>
          <w:sz w:val="24"/>
          <w:szCs w:val="24"/>
        </w:rPr>
        <w:t xml:space="preserve"> </w:t>
      </w:r>
      <w:r w:rsidRPr="00680249">
        <w:rPr>
          <w:rFonts w:ascii="Times New Roman" w:hAnsi="Times New Roman" w:cs="Times New Roman"/>
          <w:bCs/>
          <w:color w:val="000000"/>
          <w:sz w:val="24"/>
          <w:szCs w:val="24"/>
        </w:rPr>
        <w:t>consolidates maternity benefit provisions and mandates crèche facilities, these requirements generally apply only to establishments employing fifty or more workers.</w:t>
      </w:r>
      <w:r w:rsidR="003D6DAD" w:rsidRPr="00680249">
        <w:rPr>
          <w:rStyle w:val="FootnoteReference"/>
          <w:rFonts w:ascii="Times New Roman" w:hAnsi="Times New Roman" w:cs="Times New Roman"/>
          <w:bCs/>
          <w:color w:val="000000"/>
          <w:sz w:val="24"/>
          <w:szCs w:val="24"/>
        </w:rPr>
        <w:footnoteReference w:id="19"/>
      </w:r>
      <w:r w:rsidRPr="00680249">
        <w:rPr>
          <w:rFonts w:ascii="Times New Roman" w:hAnsi="Times New Roman" w:cs="Times New Roman"/>
          <w:bCs/>
          <w:color w:val="000000"/>
          <w:sz w:val="24"/>
          <w:szCs w:val="24"/>
        </w:rPr>
        <w:t xml:space="preserve"> </w:t>
      </w:r>
      <w:r w:rsidR="00672DC5" w:rsidRPr="00680249">
        <w:rPr>
          <w:rFonts w:ascii="Times New Roman" w:hAnsi="Times New Roman" w:cs="Times New Roman"/>
          <w:bCs/>
          <w:color w:val="000000"/>
          <w:sz w:val="24"/>
          <w:szCs w:val="24"/>
        </w:rPr>
        <w:t xml:space="preserve">Such a threshold leaves a big percentage of women who work in Micro, Small and Medium Enterprise (MSMEs), and informal workplace. </w:t>
      </w:r>
    </w:p>
    <w:p w14:paraId="1D09B55E" w14:textId="77777777" w:rsidR="00DC6324" w:rsidRDefault="00DC6324" w:rsidP="00680249">
      <w:pPr>
        <w:spacing w:after="0" w:line="360" w:lineRule="auto"/>
        <w:jc w:val="both"/>
        <w:rPr>
          <w:rFonts w:ascii="Times New Roman" w:hAnsi="Times New Roman" w:cs="Times New Roman"/>
          <w:color w:val="000000"/>
          <w:sz w:val="24"/>
          <w:szCs w:val="24"/>
        </w:rPr>
      </w:pPr>
    </w:p>
    <w:p w14:paraId="5C951930" w14:textId="57E23B4C" w:rsidR="00A91BCA" w:rsidRPr="00680249" w:rsidRDefault="001C79DC" w:rsidP="00680249">
      <w:pPr>
        <w:spacing w:after="0" w:line="360" w:lineRule="auto"/>
        <w:jc w:val="both"/>
        <w:rPr>
          <w:rFonts w:ascii="Times New Roman" w:hAnsi="Times New Roman" w:cs="Times New Roman"/>
          <w:bCs/>
          <w:color w:val="000000"/>
          <w:sz w:val="24"/>
          <w:szCs w:val="24"/>
        </w:rPr>
      </w:pPr>
      <w:r w:rsidRPr="00680249">
        <w:rPr>
          <w:rFonts w:ascii="Times New Roman" w:hAnsi="Times New Roman" w:cs="Times New Roman"/>
          <w:color w:val="000000"/>
          <w:sz w:val="24"/>
          <w:szCs w:val="24"/>
        </w:rPr>
        <w:t>Although the legislation guarantees equal pay for work of a similar nature, gender wage gaps persist</w:t>
      </w:r>
      <w:r w:rsidRPr="00680249">
        <w:rPr>
          <w:rFonts w:ascii="Times New Roman" w:hAnsi="Times New Roman" w:cs="Times New Roman"/>
          <w:color w:val="000000"/>
          <w:sz w:val="24"/>
          <w:szCs w:val="24"/>
        </w:rPr>
        <w:t xml:space="preserve">. </w:t>
      </w:r>
      <w:r w:rsidR="00A91BCA" w:rsidRPr="00680249">
        <w:rPr>
          <w:rFonts w:ascii="Times New Roman" w:hAnsi="Times New Roman" w:cs="Times New Roman"/>
          <w:bCs/>
          <w:color w:val="000000"/>
          <w:sz w:val="24"/>
          <w:szCs w:val="24"/>
        </w:rPr>
        <w:t>Achieving substantive equality requires expanding the interpretation of equal pay to include the principle of</w:t>
      </w:r>
      <w:r w:rsidR="00A91BCA" w:rsidRPr="00680249">
        <w:rPr>
          <w:rStyle w:val="apple-converted-space"/>
          <w:rFonts w:ascii="Times New Roman" w:hAnsi="Times New Roman" w:cs="Times New Roman"/>
          <w:bCs/>
          <w:color w:val="000000"/>
          <w:sz w:val="24"/>
          <w:szCs w:val="24"/>
        </w:rPr>
        <w:t> </w:t>
      </w:r>
      <w:r w:rsidR="00A91BCA" w:rsidRPr="00680249">
        <w:rPr>
          <w:rStyle w:val="Strong"/>
          <w:rFonts w:ascii="Times New Roman" w:hAnsi="Times New Roman" w:cs="Times New Roman"/>
          <w:b w:val="0"/>
          <w:color w:val="000000"/>
          <w:sz w:val="24"/>
          <w:szCs w:val="24"/>
        </w:rPr>
        <w:t>work of equal value</w:t>
      </w:r>
      <w:r w:rsidR="00A91BCA" w:rsidRPr="00680249">
        <w:rPr>
          <w:rFonts w:ascii="Times New Roman" w:hAnsi="Times New Roman" w:cs="Times New Roman"/>
          <w:bCs/>
          <w:color w:val="000000"/>
          <w:sz w:val="24"/>
          <w:szCs w:val="24"/>
        </w:rPr>
        <w:t>.</w:t>
      </w:r>
      <w:r w:rsidR="00701E09" w:rsidRPr="00680249">
        <w:rPr>
          <w:rStyle w:val="FootnoteReference"/>
          <w:rFonts w:ascii="Times New Roman" w:hAnsi="Times New Roman" w:cs="Times New Roman"/>
          <w:bCs/>
          <w:color w:val="000000"/>
          <w:sz w:val="24"/>
          <w:szCs w:val="24"/>
        </w:rPr>
        <w:footnoteReference w:id="20"/>
      </w:r>
      <w:r w:rsidR="00A91BCA" w:rsidRPr="00680249">
        <w:rPr>
          <w:rFonts w:ascii="Times New Roman" w:hAnsi="Times New Roman" w:cs="Times New Roman"/>
          <w:bCs/>
          <w:color w:val="000000"/>
          <w:sz w:val="24"/>
          <w:szCs w:val="24"/>
        </w:rPr>
        <w:t xml:space="preserve"> </w:t>
      </w:r>
      <w:r w:rsidR="00672DC5" w:rsidRPr="00680249">
        <w:rPr>
          <w:rFonts w:ascii="Times New Roman" w:hAnsi="Times New Roman" w:cs="Times New Roman"/>
          <w:bCs/>
          <w:color w:val="000000"/>
          <w:sz w:val="24"/>
          <w:szCs w:val="24"/>
        </w:rPr>
        <w:t xml:space="preserve">This will be through objective job-evaluation systems that will evaluate skill, effort, responsibility and working conditions, as well as the redressing of historical undervaluation of feminized </w:t>
      </w:r>
      <w:proofErr w:type="spellStart"/>
      <w:r w:rsidR="00672DC5" w:rsidRPr="00680249">
        <w:rPr>
          <w:rFonts w:ascii="Times New Roman" w:hAnsi="Times New Roman" w:cs="Times New Roman"/>
          <w:bCs/>
          <w:color w:val="000000"/>
          <w:sz w:val="24"/>
          <w:szCs w:val="24"/>
        </w:rPr>
        <w:t>labour</w:t>
      </w:r>
      <w:proofErr w:type="spellEnd"/>
      <w:r w:rsidR="00672DC5" w:rsidRPr="00680249">
        <w:rPr>
          <w:rFonts w:ascii="Times New Roman" w:hAnsi="Times New Roman" w:cs="Times New Roman"/>
          <w:bCs/>
          <w:color w:val="000000"/>
          <w:sz w:val="24"/>
          <w:szCs w:val="24"/>
        </w:rPr>
        <w:t xml:space="preserve">, in caring, domestic services and textile production. </w:t>
      </w:r>
    </w:p>
    <w:p w14:paraId="054BA12B" w14:textId="77777777" w:rsidR="002028DE" w:rsidRPr="00680249" w:rsidRDefault="002028DE" w:rsidP="00680249">
      <w:pPr>
        <w:spacing w:after="0" w:line="360" w:lineRule="auto"/>
        <w:jc w:val="both"/>
        <w:rPr>
          <w:rFonts w:ascii="Times New Roman" w:hAnsi="Times New Roman" w:cs="Times New Roman"/>
          <w:bCs/>
          <w:color w:val="000000"/>
          <w:sz w:val="24"/>
          <w:szCs w:val="24"/>
        </w:rPr>
      </w:pPr>
    </w:p>
    <w:p w14:paraId="5EF41FFA" w14:textId="335D9771" w:rsidR="00A91BCA" w:rsidRPr="00680249" w:rsidRDefault="00FE16A2" w:rsidP="00680249">
      <w:pPr>
        <w:spacing w:after="0" w:line="360" w:lineRule="auto"/>
        <w:jc w:val="both"/>
        <w:rPr>
          <w:rFonts w:ascii="Times New Roman" w:hAnsi="Times New Roman" w:cs="Times New Roman"/>
          <w:bCs/>
          <w:color w:val="000000"/>
          <w:sz w:val="24"/>
          <w:szCs w:val="24"/>
        </w:rPr>
      </w:pPr>
      <w:r w:rsidRPr="00680249">
        <w:rPr>
          <w:rFonts w:ascii="Times New Roman" w:hAnsi="Times New Roman" w:cs="Times New Roman"/>
          <w:bCs/>
          <w:color w:val="000000"/>
          <w:sz w:val="24"/>
          <w:szCs w:val="24"/>
        </w:rPr>
        <w:t xml:space="preserve">The new </w:t>
      </w:r>
      <w:proofErr w:type="spellStart"/>
      <w:r w:rsidRPr="00680249">
        <w:rPr>
          <w:rFonts w:ascii="Times New Roman" w:hAnsi="Times New Roman" w:cs="Times New Roman"/>
          <w:bCs/>
          <w:color w:val="000000"/>
          <w:sz w:val="24"/>
          <w:szCs w:val="24"/>
        </w:rPr>
        <w:t>labour</w:t>
      </w:r>
      <w:proofErr w:type="spellEnd"/>
      <w:r w:rsidRPr="00680249">
        <w:rPr>
          <w:rFonts w:ascii="Times New Roman" w:hAnsi="Times New Roman" w:cs="Times New Roman"/>
          <w:bCs/>
          <w:color w:val="000000"/>
          <w:sz w:val="24"/>
          <w:szCs w:val="24"/>
        </w:rPr>
        <w:t xml:space="preserve"> codes also have limited protections to gig and platform workers, but even with these provisions, many informal workers would be beyond the reach of the </w:t>
      </w:r>
      <w:proofErr w:type="spellStart"/>
      <w:r w:rsidRPr="00680249">
        <w:rPr>
          <w:rFonts w:ascii="Times New Roman" w:hAnsi="Times New Roman" w:cs="Times New Roman"/>
          <w:bCs/>
          <w:color w:val="000000"/>
          <w:sz w:val="24"/>
          <w:szCs w:val="24"/>
        </w:rPr>
        <w:t>labour</w:t>
      </w:r>
      <w:proofErr w:type="spellEnd"/>
      <w:r w:rsidRPr="00680249">
        <w:rPr>
          <w:rFonts w:ascii="Times New Roman" w:hAnsi="Times New Roman" w:cs="Times New Roman"/>
          <w:bCs/>
          <w:color w:val="000000"/>
          <w:sz w:val="24"/>
          <w:szCs w:val="24"/>
        </w:rPr>
        <w:t xml:space="preserve"> legislation. Among the practical remedies is the introduction of a national registration system of the informal workers that is connected with portable social security benefit.</w:t>
      </w:r>
      <w:r w:rsidRPr="00680249">
        <w:rPr>
          <w:rFonts w:ascii="Times New Roman" w:hAnsi="Times New Roman" w:cs="Times New Roman"/>
          <w:bCs/>
          <w:color w:val="000000"/>
          <w:sz w:val="24"/>
          <w:szCs w:val="24"/>
        </w:rPr>
        <w:t xml:space="preserve"> </w:t>
      </w:r>
      <w:r w:rsidR="00A91BCA" w:rsidRPr="00680249">
        <w:rPr>
          <w:rFonts w:ascii="Times New Roman" w:hAnsi="Times New Roman" w:cs="Times New Roman"/>
          <w:bCs/>
          <w:color w:val="000000"/>
          <w:sz w:val="24"/>
          <w:szCs w:val="24"/>
        </w:rPr>
        <w:t>Such benefits would follow workers across employers rather than being tied to a single workplace, thereby extending labour protections to sectors historically excluded from formal regulation.</w:t>
      </w:r>
      <w:r w:rsidR="00701E09" w:rsidRPr="00680249">
        <w:rPr>
          <w:rStyle w:val="FootnoteReference"/>
          <w:rFonts w:ascii="Times New Roman" w:hAnsi="Times New Roman" w:cs="Times New Roman"/>
          <w:bCs/>
          <w:color w:val="000000"/>
          <w:sz w:val="24"/>
          <w:szCs w:val="24"/>
        </w:rPr>
        <w:footnoteReference w:id="21"/>
      </w:r>
    </w:p>
    <w:p w14:paraId="6EF57EFF" w14:textId="77777777" w:rsidR="00E17356" w:rsidRDefault="00E17356" w:rsidP="00680249">
      <w:pPr>
        <w:spacing w:after="0" w:line="360" w:lineRule="auto"/>
        <w:jc w:val="both"/>
        <w:rPr>
          <w:rFonts w:ascii="Times New Roman" w:hAnsi="Times New Roman" w:cs="Times New Roman"/>
          <w:bCs/>
          <w:color w:val="000000"/>
          <w:sz w:val="24"/>
          <w:szCs w:val="24"/>
        </w:rPr>
      </w:pPr>
    </w:p>
    <w:p w14:paraId="567B95FB" w14:textId="3FDBD134" w:rsidR="00A91BCA" w:rsidRPr="00680249" w:rsidRDefault="00A91BCA" w:rsidP="00680249">
      <w:pPr>
        <w:spacing w:after="0" w:line="360" w:lineRule="auto"/>
        <w:jc w:val="both"/>
        <w:rPr>
          <w:rFonts w:ascii="Times New Roman" w:hAnsi="Times New Roman" w:cs="Times New Roman"/>
          <w:bCs/>
          <w:color w:val="000000"/>
          <w:sz w:val="24"/>
          <w:szCs w:val="24"/>
        </w:rPr>
      </w:pPr>
      <w:r w:rsidRPr="00680249">
        <w:rPr>
          <w:rFonts w:ascii="Times New Roman" w:hAnsi="Times New Roman" w:cs="Times New Roman"/>
          <w:bCs/>
          <w:color w:val="000000"/>
          <w:sz w:val="24"/>
          <w:szCs w:val="24"/>
        </w:rPr>
        <w:t>The</w:t>
      </w:r>
      <w:r w:rsidRPr="00680249">
        <w:rPr>
          <w:rStyle w:val="apple-converted-space"/>
          <w:rFonts w:ascii="Times New Roman" w:hAnsi="Times New Roman" w:cs="Times New Roman"/>
          <w:bCs/>
          <w:color w:val="000000"/>
          <w:sz w:val="24"/>
          <w:szCs w:val="24"/>
        </w:rPr>
        <w:t> </w:t>
      </w:r>
      <w:r w:rsidRPr="00680249">
        <w:rPr>
          <w:rStyle w:val="Strong"/>
          <w:rFonts w:ascii="Times New Roman" w:hAnsi="Times New Roman" w:cs="Times New Roman"/>
          <w:b w:val="0"/>
          <w:color w:val="000000"/>
          <w:sz w:val="24"/>
          <w:szCs w:val="24"/>
        </w:rPr>
        <w:t>Occupational Safety, Health and Working Conditions Code, 2020</w:t>
      </w:r>
      <w:r w:rsidRPr="00680249">
        <w:rPr>
          <w:rStyle w:val="apple-converted-space"/>
          <w:rFonts w:ascii="Times New Roman" w:hAnsi="Times New Roman" w:cs="Times New Roman"/>
          <w:bCs/>
          <w:color w:val="000000"/>
          <w:sz w:val="24"/>
          <w:szCs w:val="24"/>
        </w:rPr>
        <w:t> </w:t>
      </w:r>
      <w:r w:rsidRPr="00680249">
        <w:rPr>
          <w:rFonts w:ascii="Times New Roman" w:hAnsi="Times New Roman" w:cs="Times New Roman"/>
          <w:bCs/>
          <w:color w:val="000000"/>
          <w:sz w:val="24"/>
          <w:szCs w:val="24"/>
        </w:rPr>
        <w:t>permits women to work night shifts and across industries previously restricted to them.</w:t>
      </w:r>
      <w:r w:rsidR="00C74893" w:rsidRPr="00680249">
        <w:rPr>
          <w:rStyle w:val="FootnoteReference"/>
          <w:rFonts w:ascii="Times New Roman" w:hAnsi="Times New Roman" w:cs="Times New Roman"/>
          <w:bCs/>
          <w:color w:val="000000"/>
          <w:sz w:val="24"/>
          <w:szCs w:val="24"/>
        </w:rPr>
        <w:footnoteReference w:id="22"/>
      </w:r>
      <w:r w:rsidR="00FE16A2" w:rsidRPr="00680249">
        <w:rPr>
          <w:rFonts w:ascii="Times New Roman" w:hAnsi="Times New Roman" w:cs="Times New Roman"/>
          <w:bCs/>
          <w:color w:val="000000"/>
          <w:sz w:val="24"/>
          <w:szCs w:val="24"/>
        </w:rPr>
        <w:t xml:space="preserve"> </w:t>
      </w:r>
      <w:r w:rsidR="00FE16A2" w:rsidRPr="00680249">
        <w:rPr>
          <w:rFonts w:ascii="Times New Roman" w:hAnsi="Times New Roman" w:cs="Times New Roman"/>
          <w:bCs/>
          <w:color w:val="000000"/>
          <w:sz w:val="24"/>
          <w:szCs w:val="24"/>
        </w:rPr>
        <w:t>The employers have thus the responsibility of ensuring that the transportation is safe, that the workplace is secure enough and that they have provision of emergency assistance.</w:t>
      </w:r>
      <w:r w:rsidR="00FE16A2" w:rsidRPr="00680249">
        <w:rPr>
          <w:rFonts w:ascii="Times New Roman" w:hAnsi="Times New Roman" w:cs="Times New Roman"/>
          <w:bCs/>
          <w:color w:val="000000"/>
          <w:sz w:val="24"/>
          <w:szCs w:val="24"/>
        </w:rPr>
        <w:t xml:space="preserve"> </w:t>
      </w:r>
      <w:r w:rsidRPr="00680249">
        <w:rPr>
          <w:rFonts w:ascii="Times New Roman" w:hAnsi="Times New Roman" w:cs="Times New Roman"/>
          <w:bCs/>
          <w:color w:val="000000"/>
          <w:sz w:val="24"/>
          <w:szCs w:val="24"/>
        </w:rPr>
        <w:t>In addition, the implementation of the</w:t>
      </w:r>
      <w:r w:rsidRPr="00680249">
        <w:rPr>
          <w:rStyle w:val="apple-converted-space"/>
          <w:rFonts w:ascii="Times New Roman" w:hAnsi="Times New Roman" w:cs="Times New Roman"/>
          <w:bCs/>
          <w:color w:val="000000"/>
          <w:sz w:val="24"/>
          <w:szCs w:val="24"/>
        </w:rPr>
        <w:t> </w:t>
      </w:r>
      <w:r w:rsidRPr="00680249">
        <w:rPr>
          <w:rStyle w:val="Strong"/>
          <w:rFonts w:ascii="Times New Roman" w:hAnsi="Times New Roman" w:cs="Times New Roman"/>
          <w:b w:val="0"/>
          <w:color w:val="000000"/>
          <w:sz w:val="24"/>
          <w:szCs w:val="24"/>
        </w:rPr>
        <w:t xml:space="preserve">Sexual Harassment of Women at Workplace (Prevention, Prohibition and </w:t>
      </w:r>
      <w:r w:rsidRPr="00680249">
        <w:rPr>
          <w:rStyle w:val="Strong"/>
          <w:rFonts w:ascii="Times New Roman" w:hAnsi="Times New Roman" w:cs="Times New Roman"/>
          <w:b w:val="0"/>
          <w:color w:val="000000"/>
          <w:sz w:val="24"/>
          <w:szCs w:val="24"/>
        </w:rPr>
        <w:lastRenderedPageBreak/>
        <w:t>Redressal) Act, 2013</w:t>
      </w:r>
      <w:r w:rsidRPr="00680249">
        <w:rPr>
          <w:rStyle w:val="apple-converted-space"/>
          <w:rFonts w:ascii="Times New Roman" w:hAnsi="Times New Roman" w:cs="Times New Roman"/>
          <w:bCs/>
          <w:color w:val="000000"/>
          <w:sz w:val="24"/>
          <w:szCs w:val="24"/>
        </w:rPr>
        <w:t> </w:t>
      </w:r>
      <w:r w:rsidRPr="00680249">
        <w:rPr>
          <w:rFonts w:ascii="Times New Roman" w:hAnsi="Times New Roman" w:cs="Times New Roman"/>
          <w:bCs/>
          <w:color w:val="000000"/>
          <w:sz w:val="24"/>
          <w:szCs w:val="24"/>
        </w:rPr>
        <w:t>should be integrated into labour inspection systems to ensure that grievance redressal mechanisms function effectively.</w:t>
      </w:r>
      <w:r w:rsidR="00C74893" w:rsidRPr="00680249">
        <w:rPr>
          <w:rStyle w:val="FootnoteReference"/>
          <w:rFonts w:ascii="Times New Roman" w:hAnsi="Times New Roman" w:cs="Times New Roman"/>
          <w:bCs/>
          <w:color w:val="000000"/>
          <w:sz w:val="24"/>
          <w:szCs w:val="24"/>
        </w:rPr>
        <w:footnoteReference w:id="23"/>
      </w:r>
    </w:p>
    <w:p w14:paraId="66512449" w14:textId="77777777" w:rsidR="002028DE" w:rsidRPr="00680249" w:rsidRDefault="002028DE" w:rsidP="00680249">
      <w:pPr>
        <w:spacing w:after="0" w:line="360" w:lineRule="auto"/>
        <w:jc w:val="both"/>
        <w:rPr>
          <w:rFonts w:ascii="Times New Roman" w:hAnsi="Times New Roman" w:cs="Times New Roman"/>
          <w:bCs/>
          <w:color w:val="000000"/>
          <w:sz w:val="24"/>
          <w:szCs w:val="24"/>
        </w:rPr>
      </w:pPr>
    </w:p>
    <w:p w14:paraId="246E8B67" w14:textId="77777777" w:rsidR="00680249" w:rsidRPr="00680249" w:rsidRDefault="00A91BCA" w:rsidP="00680249">
      <w:pPr>
        <w:spacing w:after="0" w:line="360" w:lineRule="auto"/>
        <w:jc w:val="both"/>
        <w:rPr>
          <w:rFonts w:ascii="Times New Roman" w:hAnsi="Times New Roman" w:cs="Times New Roman"/>
          <w:color w:val="000000"/>
          <w:sz w:val="24"/>
          <w:szCs w:val="24"/>
        </w:rPr>
      </w:pPr>
      <w:r w:rsidRPr="00680249">
        <w:rPr>
          <w:rFonts w:ascii="Times New Roman" w:hAnsi="Times New Roman" w:cs="Times New Roman"/>
          <w:bCs/>
          <w:color w:val="000000"/>
          <w:sz w:val="24"/>
          <w:szCs w:val="24"/>
        </w:rPr>
        <w:t>Although the</w:t>
      </w:r>
      <w:r w:rsidRPr="00680249">
        <w:rPr>
          <w:rStyle w:val="apple-converted-space"/>
          <w:rFonts w:ascii="Times New Roman" w:hAnsi="Times New Roman" w:cs="Times New Roman"/>
          <w:bCs/>
          <w:color w:val="000000"/>
          <w:sz w:val="24"/>
          <w:szCs w:val="24"/>
        </w:rPr>
        <w:t> </w:t>
      </w:r>
      <w:r w:rsidRPr="00680249">
        <w:rPr>
          <w:rStyle w:val="Strong"/>
          <w:rFonts w:ascii="Times New Roman" w:hAnsi="Times New Roman" w:cs="Times New Roman"/>
          <w:b w:val="0"/>
          <w:color w:val="000000"/>
          <w:sz w:val="24"/>
          <w:szCs w:val="24"/>
        </w:rPr>
        <w:t>Industrial Relations Code, 2020</w:t>
      </w:r>
      <w:r w:rsidRPr="00680249">
        <w:rPr>
          <w:rStyle w:val="apple-converted-space"/>
          <w:rFonts w:ascii="Times New Roman" w:hAnsi="Times New Roman" w:cs="Times New Roman"/>
          <w:bCs/>
          <w:color w:val="000000"/>
          <w:sz w:val="24"/>
          <w:szCs w:val="24"/>
        </w:rPr>
        <w:t> </w:t>
      </w:r>
      <w:r w:rsidRPr="00680249">
        <w:rPr>
          <w:rFonts w:ascii="Times New Roman" w:hAnsi="Times New Roman" w:cs="Times New Roman"/>
          <w:bCs/>
          <w:color w:val="000000"/>
          <w:sz w:val="24"/>
          <w:szCs w:val="24"/>
        </w:rPr>
        <w:t>regulates trade unions and dispute resolution, women remain underrepresented in union leadership and negotiation bodies.</w:t>
      </w:r>
      <w:r w:rsidR="000C05A3" w:rsidRPr="00680249">
        <w:rPr>
          <w:rStyle w:val="FootnoteReference"/>
          <w:rFonts w:ascii="Times New Roman" w:hAnsi="Times New Roman" w:cs="Times New Roman"/>
          <w:bCs/>
          <w:color w:val="000000"/>
          <w:sz w:val="24"/>
          <w:szCs w:val="24"/>
        </w:rPr>
        <w:footnoteReference w:id="24"/>
      </w:r>
      <w:r w:rsidR="000C05A3" w:rsidRPr="00680249">
        <w:rPr>
          <w:rFonts w:ascii="Times New Roman" w:hAnsi="Times New Roman" w:cs="Times New Roman"/>
          <w:bCs/>
          <w:color w:val="000000"/>
          <w:sz w:val="24"/>
          <w:szCs w:val="24"/>
        </w:rPr>
        <w:t xml:space="preserve"> </w:t>
      </w:r>
      <w:r w:rsidR="00FE16A2" w:rsidRPr="00680249">
        <w:rPr>
          <w:rFonts w:ascii="Times New Roman" w:hAnsi="Times New Roman" w:cs="Times New Roman"/>
          <w:bCs/>
          <w:color w:val="000000"/>
          <w:sz w:val="24"/>
          <w:szCs w:val="24"/>
        </w:rPr>
        <w:t xml:space="preserve">The changes in the policies should therefore encourage gender representation in Work committees, grievance committees, and collective bargaining. </w:t>
      </w:r>
    </w:p>
    <w:p w14:paraId="10EE5C8F" w14:textId="77777777" w:rsidR="00680249" w:rsidRPr="00680249" w:rsidRDefault="00680249" w:rsidP="00680249">
      <w:pPr>
        <w:spacing w:after="0" w:line="360" w:lineRule="auto"/>
        <w:jc w:val="both"/>
        <w:rPr>
          <w:rFonts w:ascii="Times New Roman" w:hAnsi="Times New Roman" w:cs="Times New Roman"/>
          <w:color w:val="000000"/>
          <w:sz w:val="24"/>
          <w:szCs w:val="24"/>
        </w:rPr>
      </w:pPr>
    </w:p>
    <w:p w14:paraId="3EE3401A" w14:textId="3FE6B659" w:rsidR="00AC3902" w:rsidRPr="00680249" w:rsidRDefault="00680249" w:rsidP="00680249">
      <w:pPr>
        <w:spacing w:after="0" w:line="360" w:lineRule="auto"/>
        <w:jc w:val="both"/>
        <w:rPr>
          <w:rFonts w:ascii="Times New Roman" w:hAnsi="Times New Roman" w:cs="Times New Roman"/>
          <w:b/>
          <w:bCs/>
          <w:color w:val="000000"/>
          <w:sz w:val="24"/>
          <w:szCs w:val="24"/>
        </w:rPr>
      </w:pPr>
      <w:r w:rsidRPr="00680249">
        <w:rPr>
          <w:rFonts w:ascii="Times New Roman" w:hAnsi="Times New Roman" w:cs="Times New Roman"/>
          <w:b/>
          <w:bCs/>
          <w:color w:val="000000"/>
          <w:sz w:val="24"/>
          <w:szCs w:val="24"/>
        </w:rPr>
        <w:t xml:space="preserve">VII. </w:t>
      </w:r>
      <w:r w:rsidR="002028DE" w:rsidRPr="00680249">
        <w:rPr>
          <w:rFonts w:ascii="Times New Roman" w:hAnsi="Times New Roman" w:cs="Times New Roman"/>
          <w:b/>
          <w:bCs/>
          <w:color w:val="000000"/>
          <w:sz w:val="24"/>
          <w:szCs w:val="24"/>
        </w:rPr>
        <w:t>RECOMMENDATIONS FOR A GENDER- JUST LABOUR FRAMEWORK</w:t>
      </w:r>
    </w:p>
    <w:p w14:paraId="2F1EEA28" w14:textId="497A270F" w:rsidR="00AC3902" w:rsidRPr="00680249" w:rsidRDefault="00213B26" w:rsidP="00680249">
      <w:pPr>
        <w:pStyle w:val="NormalWeb"/>
        <w:spacing w:after="0" w:afterAutospacing="0" w:line="360" w:lineRule="auto"/>
        <w:jc w:val="both"/>
        <w:rPr>
          <w:bCs/>
          <w:color w:val="000000"/>
        </w:rPr>
      </w:pPr>
      <w:r w:rsidRPr="00680249">
        <w:rPr>
          <w:bCs/>
          <w:color w:val="000000"/>
        </w:rPr>
        <w:t xml:space="preserve">In order to fill the gap between formal equality and substantive inequality in the context of the Indian labour sector, it is crucial to shift the discussion beyond enacting rights and consider the functioning mechanisms of the process of gender justice. </w:t>
      </w:r>
    </w:p>
    <w:p w14:paraId="5009C9A9" w14:textId="58664EDA" w:rsidR="00AC3902" w:rsidRPr="00680249" w:rsidRDefault="00213B26" w:rsidP="00680249">
      <w:pPr>
        <w:pStyle w:val="NormalWeb"/>
        <w:spacing w:after="0" w:afterAutospacing="0" w:line="360" w:lineRule="auto"/>
        <w:jc w:val="both"/>
        <w:rPr>
          <w:bCs/>
          <w:color w:val="000000"/>
        </w:rPr>
      </w:pPr>
      <w:r w:rsidRPr="00680249">
        <w:rPr>
          <w:bCs/>
          <w:color w:val="000000"/>
        </w:rPr>
        <w:t>One of the main pillars of this framework is the successful execution of gender-responsive policy reforms.</w:t>
      </w:r>
      <w:r w:rsidRPr="00680249">
        <w:rPr>
          <w:bCs/>
          <w:color w:val="000000"/>
        </w:rPr>
        <w:t xml:space="preserve"> </w:t>
      </w:r>
      <w:r w:rsidR="00AC3902" w:rsidRPr="00680249">
        <w:rPr>
          <w:bCs/>
          <w:color w:val="000000"/>
        </w:rPr>
        <w:t>The new Labour Codes introduce provisions intended to dismantle traditional occupational segregation by allowing women to work across sectors previously restricted to them, including certain industrial environments and night shifts subject to safety conditions.</w:t>
      </w:r>
      <w:r w:rsidR="0087052F" w:rsidRPr="00680249">
        <w:rPr>
          <w:rStyle w:val="FootnoteReference"/>
          <w:bCs/>
          <w:color w:val="000000"/>
        </w:rPr>
        <w:footnoteReference w:id="25"/>
      </w:r>
      <w:r w:rsidR="0087052F" w:rsidRPr="00680249">
        <w:rPr>
          <w:bCs/>
          <w:color w:val="000000"/>
        </w:rPr>
        <w:t xml:space="preserve"> </w:t>
      </w:r>
      <w:r w:rsidRPr="00680249">
        <w:rPr>
          <w:bCs/>
          <w:color w:val="000000"/>
        </w:rPr>
        <w:t xml:space="preserve">As much as these provisions will be a step towards formal equality, they should be backed up with substantive protections to avoid emerging vulnerabilities. Particularly, the aspect of the employee consent to night work should be observed closely to make sure that it is always voluntary and without any coercion. </w:t>
      </w:r>
      <w:r w:rsidR="00AC3902" w:rsidRPr="00680249">
        <w:rPr>
          <w:bCs/>
          <w:color w:val="000000"/>
        </w:rPr>
        <w:t>Additionally, safety requirements such as secure transportation, adequate workplace lighting, and deployment in teams should be treated as mandatory compliance standards rather than discretionary measures.</w:t>
      </w:r>
      <w:r w:rsidR="0087052F" w:rsidRPr="00680249">
        <w:rPr>
          <w:rStyle w:val="FootnoteReference"/>
          <w:bCs/>
          <w:color w:val="000000"/>
        </w:rPr>
        <w:footnoteReference w:id="26"/>
      </w:r>
    </w:p>
    <w:p w14:paraId="228A3D06" w14:textId="2CF62A2D" w:rsidR="00AC3902" w:rsidRPr="00680249" w:rsidRDefault="00AC3902" w:rsidP="00680249">
      <w:pPr>
        <w:pStyle w:val="NormalWeb"/>
        <w:spacing w:after="0" w:afterAutospacing="0" w:line="360" w:lineRule="auto"/>
        <w:jc w:val="both"/>
        <w:rPr>
          <w:bCs/>
          <w:color w:val="000000"/>
        </w:rPr>
      </w:pPr>
      <w:r w:rsidRPr="00680249">
        <w:rPr>
          <w:bCs/>
          <w:color w:val="000000"/>
        </w:rPr>
        <w:t>The</w:t>
      </w:r>
      <w:r w:rsidRPr="00680249">
        <w:rPr>
          <w:rStyle w:val="apple-converted-space"/>
          <w:rFonts w:eastAsiaTheme="majorEastAsia"/>
          <w:bCs/>
          <w:color w:val="000000"/>
        </w:rPr>
        <w:t> </w:t>
      </w:r>
      <w:r w:rsidRPr="00680249">
        <w:rPr>
          <w:rStyle w:val="Strong"/>
          <w:rFonts w:eastAsiaTheme="majorEastAsia"/>
          <w:b w:val="0"/>
          <w:color w:val="000000"/>
        </w:rPr>
        <w:t>Gender Budget for 2026–27</w:t>
      </w:r>
      <w:r w:rsidRPr="00680249">
        <w:rPr>
          <w:bCs/>
          <w:color w:val="000000"/>
        </w:rPr>
        <w:t>, which allocates approximately ₹5,00,878 crore toward programs promoting women’s development and equality, reflects a significant policy commitment by the government.</w:t>
      </w:r>
      <w:r w:rsidR="005F1642" w:rsidRPr="00680249">
        <w:rPr>
          <w:rStyle w:val="FootnoteReference"/>
          <w:bCs/>
          <w:color w:val="000000"/>
        </w:rPr>
        <w:footnoteReference w:id="27"/>
      </w:r>
      <w:r w:rsidR="005F1642" w:rsidRPr="00680249">
        <w:rPr>
          <w:bCs/>
          <w:color w:val="000000"/>
        </w:rPr>
        <w:t xml:space="preserve"> </w:t>
      </w:r>
      <w:r w:rsidR="00213B26" w:rsidRPr="00680249">
        <w:rPr>
          <w:bCs/>
          <w:color w:val="000000"/>
        </w:rPr>
        <w:t xml:space="preserve">Nevertheless, specific effects of such allocations on labour are not well established, unless the resources are focused on the enhancement of enforcement institutions. More funding should be hence made towards labour inspectorates, gender sensitive compliance systems and available legal aid services to women workers. Childcare facilities and safe transport systems might also be provided publicly, which eases the logistical issues often constraining women participation in the </w:t>
      </w:r>
      <w:r w:rsidR="00213B26" w:rsidRPr="00680249">
        <w:rPr>
          <w:bCs/>
          <w:color w:val="000000"/>
        </w:rPr>
        <w:t>labour</w:t>
      </w:r>
      <w:r w:rsidR="00213B26" w:rsidRPr="00680249">
        <w:rPr>
          <w:bCs/>
          <w:color w:val="000000"/>
        </w:rPr>
        <w:t xml:space="preserve"> force.</w:t>
      </w:r>
    </w:p>
    <w:p w14:paraId="2C53E6D9" w14:textId="65637F1E" w:rsidR="00AC3902" w:rsidRPr="00680249" w:rsidRDefault="0034164F" w:rsidP="00680249">
      <w:pPr>
        <w:pStyle w:val="NormalWeb"/>
        <w:spacing w:after="0" w:afterAutospacing="0" w:line="360" w:lineRule="auto"/>
        <w:jc w:val="both"/>
        <w:rPr>
          <w:bCs/>
          <w:color w:val="000000"/>
        </w:rPr>
      </w:pPr>
      <w:r w:rsidRPr="00680249">
        <w:rPr>
          <w:bCs/>
          <w:color w:val="000000"/>
        </w:rPr>
        <w:t>E</w:t>
      </w:r>
      <w:r w:rsidR="00213B26" w:rsidRPr="00680249">
        <w:rPr>
          <w:bCs/>
          <w:color w:val="000000"/>
        </w:rPr>
        <w:t xml:space="preserve">conomic support systems especially are relevant to the Micro, Small and Medium Enterprises (MSMEs) which have a large percentage of the working population in India. </w:t>
      </w:r>
      <w:r w:rsidR="00AC3902" w:rsidRPr="00680249">
        <w:rPr>
          <w:bCs/>
          <w:color w:val="000000"/>
        </w:rPr>
        <w:t>Compliance with gender-sensitive safety and welfare standards may impose additional costs on smaller enterprises, potentially discouraging the recruitment of women workers.</w:t>
      </w:r>
      <w:r w:rsidR="009E0A83" w:rsidRPr="00680249">
        <w:rPr>
          <w:rStyle w:val="FootnoteReference"/>
          <w:bCs/>
          <w:color w:val="000000"/>
        </w:rPr>
        <w:footnoteReference w:id="28"/>
      </w:r>
      <w:r w:rsidR="009E0A83" w:rsidRPr="00680249">
        <w:rPr>
          <w:bCs/>
          <w:color w:val="000000"/>
        </w:rPr>
        <w:t xml:space="preserve"> </w:t>
      </w:r>
      <w:r w:rsidRPr="00680249">
        <w:rPr>
          <w:bCs/>
          <w:color w:val="000000"/>
        </w:rPr>
        <w:t xml:space="preserve">An equitable labour framework based on gender must thus integrate stepped pyramids of compliance </w:t>
      </w:r>
      <w:r w:rsidRPr="00680249">
        <w:rPr>
          <w:bCs/>
          <w:color w:val="000000"/>
        </w:rPr>
        <w:lastRenderedPageBreak/>
        <w:t>measures or monetary incentives to the MSMEs which implement a gender-equitable employment standards. These would assist in balancing the policy goals and the financial limitations of the small business.</w:t>
      </w:r>
    </w:p>
    <w:p w14:paraId="29CBDA3E" w14:textId="12D10CBD" w:rsidR="00AC3902" w:rsidRPr="00680249" w:rsidRDefault="00AC3902" w:rsidP="00680249">
      <w:pPr>
        <w:pStyle w:val="NormalWeb"/>
        <w:spacing w:after="0" w:afterAutospacing="0" w:line="360" w:lineRule="auto"/>
        <w:jc w:val="both"/>
        <w:rPr>
          <w:bCs/>
          <w:color w:val="000000"/>
        </w:rPr>
      </w:pPr>
      <w:r w:rsidRPr="00680249">
        <w:rPr>
          <w:bCs/>
          <w:color w:val="000000"/>
        </w:rPr>
        <w:t>In response, India’s evolving labour administration has begun adopting</w:t>
      </w:r>
      <w:r w:rsidRPr="00680249">
        <w:rPr>
          <w:rStyle w:val="apple-converted-space"/>
          <w:rFonts w:eastAsiaTheme="majorEastAsia"/>
          <w:bCs/>
          <w:color w:val="000000"/>
        </w:rPr>
        <w:t> </w:t>
      </w:r>
      <w:r w:rsidRPr="00680249">
        <w:rPr>
          <w:rStyle w:val="Strong"/>
          <w:rFonts w:eastAsiaTheme="majorEastAsia"/>
          <w:b w:val="0"/>
          <w:color w:val="000000"/>
        </w:rPr>
        <w:t>digital compliance and monitoring systems</w:t>
      </w:r>
      <w:r w:rsidRPr="00680249">
        <w:rPr>
          <w:bCs/>
          <w:color w:val="000000"/>
        </w:rPr>
        <w:t>.</w:t>
      </w:r>
      <w:r w:rsidR="00382948" w:rsidRPr="00680249">
        <w:rPr>
          <w:rStyle w:val="FootnoteReference"/>
          <w:bCs/>
          <w:color w:val="000000"/>
        </w:rPr>
        <w:footnoteReference w:id="29"/>
      </w:r>
      <w:r w:rsidRPr="00680249">
        <w:rPr>
          <w:bCs/>
          <w:color w:val="000000"/>
        </w:rPr>
        <w:t xml:space="preserve"> </w:t>
      </w:r>
      <w:r w:rsidR="0034164F" w:rsidRPr="00680249">
        <w:rPr>
          <w:bCs/>
          <w:color w:val="000000"/>
        </w:rPr>
        <w:t>The technologies ought to be used to monitor gender-related indicators like wage parities, rates of retention of maternity leaves, and the number of complaints on sexual harassment within the workplace. The inclusion of gender indicators into the digital compliance systems has the potential to change equality policies as a symbolic pledge into a tangible deliverable.</w:t>
      </w:r>
    </w:p>
    <w:p w14:paraId="0C8033F9" w14:textId="468AF289" w:rsidR="00AC3902" w:rsidRPr="00680249" w:rsidRDefault="00AC3902" w:rsidP="00680249">
      <w:pPr>
        <w:pStyle w:val="NormalWeb"/>
        <w:spacing w:after="0" w:afterAutospacing="0" w:line="360" w:lineRule="auto"/>
        <w:jc w:val="both"/>
        <w:rPr>
          <w:bCs/>
          <w:color w:val="000000"/>
        </w:rPr>
      </w:pPr>
      <w:r w:rsidRPr="00680249">
        <w:rPr>
          <w:bCs/>
          <w:color w:val="000000"/>
        </w:rPr>
        <w:t>This includes strengthening institutional mechanisms such as</w:t>
      </w:r>
      <w:r w:rsidRPr="00680249">
        <w:rPr>
          <w:rStyle w:val="apple-converted-space"/>
          <w:rFonts w:eastAsiaTheme="majorEastAsia"/>
          <w:bCs/>
          <w:color w:val="000000"/>
        </w:rPr>
        <w:t> </w:t>
      </w:r>
      <w:r w:rsidRPr="00680249">
        <w:rPr>
          <w:rStyle w:val="Strong"/>
          <w:rFonts w:eastAsiaTheme="majorEastAsia"/>
          <w:b w:val="0"/>
          <w:color w:val="000000"/>
        </w:rPr>
        <w:t>Internal Committees established under the Sexual Harassment of Women at Workplace (Prevention, Prohibition and Redressal) Act, 2013</w:t>
      </w:r>
      <w:r w:rsidRPr="00680249">
        <w:rPr>
          <w:bCs/>
          <w:color w:val="000000"/>
        </w:rPr>
        <w:t>, ensuring they function not only as grievance redressal bodies but also as proactive monitors of workplace safety and equality.</w:t>
      </w:r>
      <w:r w:rsidR="00382948" w:rsidRPr="00680249">
        <w:rPr>
          <w:rStyle w:val="FootnoteReference"/>
          <w:bCs/>
          <w:color w:val="000000"/>
        </w:rPr>
        <w:footnoteReference w:id="30"/>
      </w:r>
      <w:r w:rsidR="00F164F0" w:rsidRPr="00680249">
        <w:rPr>
          <w:bCs/>
          <w:color w:val="000000"/>
        </w:rPr>
        <w:t xml:space="preserve"> </w:t>
      </w:r>
    </w:p>
    <w:p w14:paraId="04897DAE" w14:textId="278B27CA" w:rsidR="00213B26" w:rsidRDefault="00051FB7" w:rsidP="00680249">
      <w:pPr>
        <w:pStyle w:val="NormalWeb"/>
        <w:spacing w:after="0" w:afterAutospacing="0" w:line="360" w:lineRule="auto"/>
        <w:jc w:val="both"/>
        <w:rPr>
          <w:bCs/>
          <w:color w:val="000000"/>
        </w:rPr>
      </w:pPr>
      <w:r w:rsidRPr="00680249">
        <w:rPr>
          <w:bCs/>
          <w:color w:val="000000"/>
        </w:rPr>
        <w:t xml:space="preserve">To sum it up, it is necessary to develop a gender-just labour framework through simultaneous actions at legislative, financial, and institutional levels. </w:t>
      </w:r>
      <w:r w:rsidR="00AC3902" w:rsidRPr="00680249">
        <w:rPr>
          <w:bCs/>
          <w:color w:val="000000"/>
        </w:rPr>
        <w:t>While India’s Labour Codes represent a significant step toward modernizing labour regulation, genuine gender justice will depend on effective enforcement, inclusive policy design, and the active participation of workers in labour governance processes.</w:t>
      </w:r>
      <w:r w:rsidR="004C520C" w:rsidRPr="00680249">
        <w:rPr>
          <w:rStyle w:val="FootnoteReference"/>
          <w:bCs/>
          <w:color w:val="000000"/>
        </w:rPr>
        <w:footnoteReference w:id="31"/>
      </w:r>
      <w:r w:rsidR="00AC3902" w:rsidRPr="00680249">
        <w:rPr>
          <w:bCs/>
          <w:color w:val="000000"/>
        </w:rPr>
        <w:t xml:space="preserve"> </w:t>
      </w:r>
    </w:p>
    <w:p w14:paraId="74176071" w14:textId="77777777" w:rsidR="00E17356" w:rsidRDefault="00E17356" w:rsidP="00E17356">
      <w:pPr>
        <w:pStyle w:val="NormalWeb"/>
        <w:spacing w:before="0" w:beforeAutospacing="0" w:after="0" w:line="360" w:lineRule="auto"/>
        <w:jc w:val="both"/>
        <w:rPr>
          <w:b/>
          <w:color w:val="000000"/>
        </w:rPr>
      </w:pPr>
    </w:p>
    <w:p w14:paraId="6A201EEB" w14:textId="679FAF5D" w:rsidR="007D22D2" w:rsidRPr="007D22D2" w:rsidRDefault="007D22D2" w:rsidP="00E17356">
      <w:pPr>
        <w:pStyle w:val="NormalWeb"/>
        <w:spacing w:before="0" w:beforeAutospacing="0" w:after="0" w:line="360" w:lineRule="auto"/>
        <w:jc w:val="both"/>
        <w:rPr>
          <w:b/>
          <w:color w:val="000000"/>
        </w:rPr>
      </w:pPr>
      <w:r>
        <w:rPr>
          <w:b/>
          <w:color w:val="000000"/>
        </w:rPr>
        <w:t xml:space="preserve">VIII. </w:t>
      </w:r>
      <w:r w:rsidRPr="007D22D2">
        <w:rPr>
          <w:b/>
          <w:color w:val="000000"/>
        </w:rPr>
        <w:t>CONCLUSION</w:t>
      </w:r>
    </w:p>
    <w:p w14:paraId="38A8F400" w14:textId="0BBFDC3F" w:rsidR="007D22D2" w:rsidRPr="00680249" w:rsidRDefault="007D22D2" w:rsidP="00E17356">
      <w:pPr>
        <w:pStyle w:val="NormalWeb"/>
        <w:spacing w:before="0" w:beforeAutospacing="0" w:after="0" w:afterAutospacing="0" w:line="360" w:lineRule="auto"/>
        <w:jc w:val="both"/>
        <w:rPr>
          <w:bCs/>
          <w:color w:val="000000"/>
        </w:rPr>
      </w:pPr>
      <w:r w:rsidRPr="007D22D2">
        <w:rPr>
          <w:bCs/>
          <w:color w:val="000000"/>
        </w:rPr>
        <w:t xml:space="preserve">The discussion of the New Labour Codes in India shows that even though the reforms bring a number of provisions reflecting equalities and non-discrimination, their effects continue to be mostly limited to the paradigm of formal equality. The informal employment, unequal care burden and weak mechanisms of enforcing them are structural barriers that still curb effective involvement of women into the labour market. To bring about a real sense of gender justice, then, there must be a move towards substantive equality, by making institutions enforce it more effectively, by incorporating policies concerning labour and gender, and by creating gender responsive governance. It is only by these means that labour reforms can make some significant contribution to economic development as well as the </w:t>
      </w:r>
      <w:r w:rsidRPr="007D22D2">
        <w:rPr>
          <w:bCs/>
          <w:color w:val="000000"/>
        </w:rPr>
        <w:t>fulfilment</w:t>
      </w:r>
      <w:r w:rsidRPr="007D22D2">
        <w:rPr>
          <w:bCs/>
          <w:color w:val="000000"/>
        </w:rPr>
        <w:t xml:space="preserve"> of human rights.</w:t>
      </w:r>
    </w:p>
    <w:p w14:paraId="1777D666" w14:textId="77777777" w:rsidR="002B257D" w:rsidRPr="00680249" w:rsidRDefault="002B257D" w:rsidP="00680249">
      <w:pPr>
        <w:spacing w:after="0" w:line="360" w:lineRule="auto"/>
        <w:jc w:val="both"/>
        <w:rPr>
          <w:rFonts w:ascii="Times New Roman" w:hAnsi="Times New Roman" w:cs="Times New Roman"/>
          <w:bCs/>
          <w:sz w:val="24"/>
          <w:szCs w:val="24"/>
        </w:rPr>
      </w:pPr>
    </w:p>
    <w:sectPr w:rsidR="002B257D" w:rsidRPr="00680249" w:rsidSect="002B257D">
      <w:pgSz w:w="11906" w:h="16838"/>
      <w:pgMar w:top="567" w:right="567" w:bottom="56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C0969" w14:textId="77777777" w:rsidR="0032597C" w:rsidRDefault="0032597C" w:rsidP="002B257D">
      <w:pPr>
        <w:spacing w:after="0" w:line="240" w:lineRule="auto"/>
      </w:pPr>
      <w:r>
        <w:separator/>
      </w:r>
    </w:p>
  </w:endnote>
  <w:endnote w:type="continuationSeparator" w:id="0">
    <w:p w14:paraId="1872D5A6" w14:textId="77777777" w:rsidR="0032597C" w:rsidRDefault="0032597C" w:rsidP="002B2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8323F" w14:textId="77777777" w:rsidR="0032597C" w:rsidRDefault="0032597C" w:rsidP="002B257D">
      <w:pPr>
        <w:spacing w:after="0" w:line="240" w:lineRule="auto"/>
      </w:pPr>
      <w:r>
        <w:separator/>
      </w:r>
    </w:p>
  </w:footnote>
  <w:footnote w:type="continuationSeparator" w:id="0">
    <w:p w14:paraId="084D6E8A" w14:textId="77777777" w:rsidR="0032597C" w:rsidRDefault="0032597C" w:rsidP="002B257D">
      <w:pPr>
        <w:spacing w:after="0" w:line="240" w:lineRule="auto"/>
      </w:pPr>
      <w:r>
        <w:continuationSeparator/>
      </w:r>
    </w:p>
  </w:footnote>
  <w:footnote w:id="1">
    <w:p w14:paraId="0E142BB3" w14:textId="0F922A8B" w:rsidR="002B257D" w:rsidRPr="00D95978" w:rsidRDefault="002B257D" w:rsidP="00D95978">
      <w:pPr>
        <w:spacing w:after="0" w:line="240" w:lineRule="auto"/>
        <w:jc w:val="both"/>
        <w:rPr>
          <w:rFonts w:ascii="Times New Roman" w:hAnsi="Times New Roman" w:cs="Times New Roman"/>
          <w:sz w:val="20"/>
          <w:szCs w:val="20"/>
        </w:rPr>
      </w:pPr>
      <w:r w:rsidRPr="00D95978">
        <w:rPr>
          <w:rStyle w:val="FootnoteReference"/>
          <w:rFonts w:ascii="Times New Roman" w:hAnsi="Times New Roman" w:cs="Times New Roman"/>
          <w:sz w:val="20"/>
          <w:szCs w:val="20"/>
        </w:rPr>
        <w:footnoteRef/>
      </w:r>
      <w:r w:rsidRPr="00D95978">
        <w:rPr>
          <w:rFonts w:ascii="Times New Roman" w:hAnsi="Times New Roman" w:cs="Times New Roman"/>
          <w:sz w:val="20"/>
          <w:szCs w:val="20"/>
        </w:rPr>
        <w:t xml:space="preserve"> </w:t>
      </w:r>
      <w:r w:rsidR="009336CD" w:rsidRPr="00D95978">
        <w:rPr>
          <w:rFonts w:ascii="Times New Roman" w:hAnsi="Times New Roman" w:cs="Times New Roman"/>
          <w:color w:val="000000"/>
          <w:sz w:val="20"/>
          <w:szCs w:val="20"/>
        </w:rPr>
        <w:t>Second-Year Law Student, National Law Institute University, Bhopal, India. Email:</w:t>
      </w:r>
      <w:r w:rsidR="009336CD" w:rsidRPr="00D95978">
        <w:rPr>
          <w:rStyle w:val="apple-converted-space"/>
          <w:rFonts w:ascii="Times New Roman" w:hAnsi="Times New Roman" w:cs="Times New Roman"/>
          <w:color w:val="000000"/>
          <w:sz w:val="20"/>
          <w:szCs w:val="20"/>
        </w:rPr>
        <w:t> </w:t>
      </w:r>
      <w:hyperlink r:id="rId1" w:history="1">
        <w:r w:rsidR="009336CD" w:rsidRPr="00D95978">
          <w:rPr>
            <w:rStyle w:val="Hyperlink"/>
            <w:rFonts w:ascii="Times New Roman" w:hAnsi="Times New Roman" w:cs="Times New Roman"/>
            <w:sz w:val="20"/>
            <w:szCs w:val="20"/>
          </w:rPr>
          <w:t>diksha.bsc@nliu.ac.in</w:t>
        </w:r>
      </w:hyperlink>
      <w:r w:rsidR="009336CD" w:rsidRPr="00D95978">
        <w:rPr>
          <w:rFonts w:ascii="Times New Roman" w:hAnsi="Times New Roman" w:cs="Times New Roman"/>
          <w:color w:val="000000"/>
          <w:sz w:val="20"/>
          <w:szCs w:val="20"/>
        </w:rPr>
        <w:t>.</w:t>
      </w:r>
      <w:r w:rsidR="009336CD" w:rsidRPr="00D95978">
        <w:rPr>
          <w:rFonts w:ascii="Times New Roman" w:hAnsi="Times New Roman" w:cs="Times New Roman"/>
          <w:color w:val="000000"/>
          <w:sz w:val="20"/>
          <w:szCs w:val="20"/>
        </w:rPr>
        <w:t xml:space="preserve"> </w:t>
      </w:r>
    </w:p>
  </w:footnote>
  <w:footnote w:id="2">
    <w:p w14:paraId="6B32597E" w14:textId="432540E9" w:rsidR="00A15BE4" w:rsidRPr="00D95978" w:rsidRDefault="00A15BE4" w:rsidP="00D95978">
      <w:pPr>
        <w:pStyle w:val="FootnoteText"/>
        <w:jc w:val="both"/>
        <w:rPr>
          <w:rFonts w:ascii="Times New Roman" w:hAnsi="Times New Roman" w:cs="Times New Roman"/>
        </w:rPr>
      </w:pPr>
      <w:r w:rsidRPr="00D95978">
        <w:rPr>
          <w:rStyle w:val="FootnoteReference"/>
          <w:rFonts w:ascii="Times New Roman" w:hAnsi="Times New Roman" w:cs="Times New Roman"/>
        </w:rPr>
        <w:footnoteRef/>
      </w:r>
      <w:r w:rsidR="00D95978" w:rsidRPr="00D95978">
        <w:rPr>
          <w:rFonts w:ascii="Times New Roman" w:hAnsi="Times New Roman" w:cs="Times New Roman"/>
          <w:color w:val="000000"/>
        </w:rPr>
        <w:t xml:space="preserve">INDIA </w:t>
      </w:r>
      <w:proofErr w:type="gramStart"/>
      <w:r w:rsidR="00D95978" w:rsidRPr="00D95978">
        <w:rPr>
          <w:rFonts w:ascii="Times New Roman" w:hAnsi="Times New Roman" w:cs="Times New Roman"/>
          <w:color w:val="000000"/>
        </w:rPr>
        <w:t>CONST.</w:t>
      </w:r>
      <w:r w:rsidRPr="00D95978">
        <w:rPr>
          <w:rFonts w:ascii="Times New Roman" w:hAnsi="Times New Roman" w:cs="Times New Roman"/>
          <w:color w:val="000000"/>
        </w:rPr>
        <w:t>.</w:t>
      </w:r>
      <w:proofErr w:type="gramEnd"/>
      <w:r w:rsidRPr="00D95978">
        <w:rPr>
          <w:rFonts w:ascii="Times New Roman" w:hAnsi="Times New Roman" w:cs="Times New Roman"/>
          <w:color w:val="000000"/>
        </w:rPr>
        <w:t xml:space="preserve"> arts. 14, 15, 16.</w:t>
      </w:r>
    </w:p>
  </w:footnote>
  <w:footnote w:id="3">
    <w:p w14:paraId="313F1D2B" w14:textId="23456875" w:rsidR="005561C4" w:rsidRPr="00D95978" w:rsidRDefault="005561C4" w:rsidP="00D95978">
      <w:pPr>
        <w:pStyle w:val="FootnoteText"/>
        <w:jc w:val="both"/>
        <w:rPr>
          <w:rFonts w:ascii="Times New Roman" w:hAnsi="Times New Roman" w:cs="Times New Roman"/>
        </w:rPr>
      </w:pPr>
      <w:r w:rsidRPr="00D95978">
        <w:rPr>
          <w:rStyle w:val="FootnoteReference"/>
          <w:rFonts w:ascii="Times New Roman" w:hAnsi="Times New Roman" w:cs="Times New Roman"/>
        </w:rPr>
        <w:footnoteRef/>
      </w:r>
      <w:r w:rsidRPr="00D95978">
        <w:rPr>
          <w:rFonts w:ascii="Times New Roman" w:hAnsi="Times New Roman" w:cs="Times New Roman"/>
        </w:rPr>
        <w:t xml:space="preserve"> </w:t>
      </w:r>
      <w:proofErr w:type="spellStart"/>
      <w:r w:rsidRPr="00D95978">
        <w:rPr>
          <w:rFonts w:ascii="Times New Roman" w:hAnsi="Times New Roman" w:cs="Times New Roman"/>
          <w:color w:val="000000"/>
        </w:rPr>
        <w:t>Tarunabh</w:t>
      </w:r>
      <w:proofErr w:type="spellEnd"/>
      <w:r w:rsidRPr="00D95978">
        <w:rPr>
          <w:rFonts w:ascii="Times New Roman" w:hAnsi="Times New Roman" w:cs="Times New Roman"/>
          <w:color w:val="000000"/>
        </w:rPr>
        <w:t xml:space="preserve"> Khaitan,</w:t>
      </w:r>
      <w:r w:rsidRPr="00D95978">
        <w:rPr>
          <w:rStyle w:val="apple-converted-space"/>
          <w:rFonts w:ascii="Times New Roman" w:hAnsi="Times New Roman" w:cs="Times New Roman"/>
          <w:color w:val="000000"/>
        </w:rPr>
        <w:t> </w:t>
      </w:r>
      <w:r w:rsidRPr="00D95978">
        <w:rPr>
          <w:rStyle w:val="Emphasis"/>
          <w:rFonts w:ascii="Times New Roman" w:hAnsi="Times New Roman" w:cs="Times New Roman"/>
          <w:color w:val="000000"/>
        </w:rPr>
        <w:t>A Theory of Discrimination Law</w:t>
      </w:r>
      <w:r w:rsidRPr="00D95978">
        <w:rPr>
          <w:rStyle w:val="apple-converted-space"/>
          <w:rFonts w:ascii="Times New Roman" w:hAnsi="Times New Roman" w:cs="Times New Roman"/>
          <w:color w:val="000000"/>
        </w:rPr>
        <w:t> </w:t>
      </w:r>
      <w:r w:rsidRPr="00D95978">
        <w:rPr>
          <w:rFonts w:ascii="Times New Roman" w:hAnsi="Times New Roman" w:cs="Times New Roman"/>
          <w:color w:val="000000"/>
        </w:rPr>
        <w:t>23–30 (Oxford Univ. Press 2015).</w:t>
      </w:r>
    </w:p>
  </w:footnote>
  <w:footnote w:id="4">
    <w:p w14:paraId="74008FD2" w14:textId="3E047883" w:rsidR="00A65F01" w:rsidRPr="00D95978" w:rsidRDefault="00A65F01" w:rsidP="00D95978">
      <w:pPr>
        <w:pStyle w:val="FootnoteText"/>
        <w:jc w:val="both"/>
        <w:rPr>
          <w:rFonts w:ascii="Times New Roman" w:hAnsi="Times New Roman" w:cs="Times New Roman"/>
        </w:rPr>
      </w:pPr>
      <w:r w:rsidRPr="00D95978">
        <w:rPr>
          <w:rStyle w:val="FootnoteReference"/>
          <w:rFonts w:ascii="Times New Roman" w:hAnsi="Times New Roman" w:cs="Times New Roman"/>
        </w:rPr>
        <w:footnoteRef/>
      </w:r>
      <w:r w:rsidRPr="00D95978">
        <w:rPr>
          <w:rFonts w:ascii="Times New Roman" w:hAnsi="Times New Roman" w:cs="Times New Roman"/>
        </w:rPr>
        <w:t xml:space="preserve"> </w:t>
      </w:r>
      <w:r w:rsidRPr="00D95978">
        <w:rPr>
          <w:rFonts w:ascii="Times New Roman" w:hAnsi="Times New Roman" w:cs="Times New Roman"/>
          <w:color w:val="000000"/>
        </w:rPr>
        <w:t xml:space="preserve">Ministry of Statistics &amp; </w:t>
      </w:r>
      <w:proofErr w:type="spellStart"/>
      <w:r w:rsidRPr="00D95978">
        <w:rPr>
          <w:rFonts w:ascii="Times New Roman" w:hAnsi="Times New Roman" w:cs="Times New Roman"/>
          <w:color w:val="000000"/>
        </w:rPr>
        <w:t>Programme</w:t>
      </w:r>
      <w:proofErr w:type="spellEnd"/>
      <w:r w:rsidRPr="00D95978">
        <w:rPr>
          <w:rFonts w:ascii="Times New Roman" w:hAnsi="Times New Roman" w:cs="Times New Roman"/>
          <w:color w:val="000000"/>
        </w:rPr>
        <w:t xml:space="preserve"> Implementation,</w:t>
      </w:r>
      <w:r w:rsidRPr="00D95978">
        <w:rPr>
          <w:rStyle w:val="apple-converted-space"/>
          <w:rFonts w:ascii="Times New Roman" w:hAnsi="Times New Roman" w:cs="Times New Roman"/>
          <w:color w:val="000000"/>
        </w:rPr>
        <w:t> </w:t>
      </w:r>
      <w:r w:rsidRPr="00D95978">
        <w:rPr>
          <w:rStyle w:val="Emphasis"/>
          <w:rFonts w:ascii="Times New Roman" w:hAnsi="Times New Roman" w:cs="Times New Roman"/>
          <w:color w:val="000000"/>
        </w:rPr>
        <w:t xml:space="preserve">Periodic </w:t>
      </w:r>
      <w:proofErr w:type="spellStart"/>
      <w:r w:rsidRPr="00D95978">
        <w:rPr>
          <w:rStyle w:val="Emphasis"/>
          <w:rFonts w:ascii="Times New Roman" w:hAnsi="Times New Roman" w:cs="Times New Roman"/>
          <w:color w:val="000000"/>
        </w:rPr>
        <w:t>Labour</w:t>
      </w:r>
      <w:proofErr w:type="spellEnd"/>
      <w:r w:rsidRPr="00D95978">
        <w:rPr>
          <w:rStyle w:val="Emphasis"/>
          <w:rFonts w:ascii="Times New Roman" w:hAnsi="Times New Roman" w:cs="Times New Roman"/>
          <w:color w:val="000000"/>
        </w:rPr>
        <w:t xml:space="preserve"> Force Survey (PLFS) 2022–23: Annual Report</w:t>
      </w:r>
      <w:r w:rsidR="008926C0" w:rsidRPr="00D95978">
        <w:rPr>
          <w:rStyle w:val="Emphasis"/>
          <w:rFonts w:ascii="Times New Roman" w:hAnsi="Times New Roman" w:cs="Times New Roman"/>
          <w:color w:val="000000"/>
        </w:rPr>
        <w:t xml:space="preserve"> </w:t>
      </w:r>
      <w:r w:rsidRPr="00D95978">
        <w:rPr>
          <w:rFonts w:ascii="Times New Roman" w:hAnsi="Times New Roman" w:cs="Times New Roman"/>
          <w:color w:val="000000"/>
        </w:rPr>
        <w:t>(Gov’t of India 2023).</w:t>
      </w:r>
    </w:p>
  </w:footnote>
  <w:footnote w:id="5">
    <w:p w14:paraId="66B56286" w14:textId="4A1ED3B6" w:rsidR="009B021E" w:rsidRPr="00D95978" w:rsidRDefault="009B021E" w:rsidP="00D95978">
      <w:pPr>
        <w:pStyle w:val="NormalWeb"/>
        <w:spacing w:before="0" w:beforeAutospacing="0" w:after="0" w:afterAutospacing="0"/>
        <w:jc w:val="both"/>
        <w:rPr>
          <w:color w:val="000000"/>
          <w:sz w:val="20"/>
          <w:szCs w:val="20"/>
        </w:rPr>
      </w:pPr>
      <w:r w:rsidRPr="00D95978">
        <w:rPr>
          <w:rStyle w:val="FootnoteReference"/>
          <w:sz w:val="20"/>
          <w:szCs w:val="20"/>
        </w:rPr>
        <w:footnoteRef/>
      </w:r>
      <w:r w:rsidRPr="00D95978">
        <w:rPr>
          <w:sz w:val="20"/>
          <w:szCs w:val="20"/>
        </w:rPr>
        <w:t xml:space="preserve"> </w:t>
      </w:r>
      <w:r w:rsidR="00600343" w:rsidRPr="00D95978">
        <w:rPr>
          <w:color w:val="000000"/>
          <w:sz w:val="20"/>
          <w:szCs w:val="20"/>
        </w:rPr>
        <w:t>Aristotle,</w:t>
      </w:r>
      <w:r w:rsidR="00600343" w:rsidRPr="00D95978">
        <w:rPr>
          <w:rStyle w:val="apple-converted-space"/>
          <w:rFonts w:eastAsiaTheme="majorEastAsia"/>
          <w:color w:val="000000"/>
          <w:sz w:val="20"/>
          <w:szCs w:val="20"/>
        </w:rPr>
        <w:t> </w:t>
      </w:r>
      <w:r w:rsidR="00600343" w:rsidRPr="00D95978">
        <w:rPr>
          <w:rStyle w:val="Emphasis"/>
          <w:rFonts w:eastAsiaTheme="majorEastAsia"/>
          <w:color w:val="000000"/>
          <w:sz w:val="20"/>
          <w:szCs w:val="20"/>
        </w:rPr>
        <w:t>Nicomachean Ethics</w:t>
      </w:r>
      <w:r w:rsidR="00600343" w:rsidRPr="00D95978">
        <w:rPr>
          <w:rStyle w:val="apple-converted-space"/>
          <w:rFonts w:eastAsiaTheme="majorEastAsia"/>
          <w:color w:val="000000"/>
          <w:sz w:val="20"/>
          <w:szCs w:val="20"/>
        </w:rPr>
        <w:t> </w:t>
      </w:r>
      <w:r w:rsidR="00600343" w:rsidRPr="00D95978">
        <w:rPr>
          <w:color w:val="000000"/>
          <w:sz w:val="20"/>
          <w:szCs w:val="20"/>
        </w:rPr>
        <w:t>bk. V (W.D. Ross trans., Oxford Univ. Press 1925).</w:t>
      </w:r>
    </w:p>
  </w:footnote>
  <w:footnote w:id="6">
    <w:p w14:paraId="2F6E21C8" w14:textId="7FE05E38" w:rsidR="00344947" w:rsidRPr="00D95978" w:rsidRDefault="00344947" w:rsidP="00D95978">
      <w:pPr>
        <w:pStyle w:val="FootnoteText"/>
        <w:jc w:val="both"/>
        <w:rPr>
          <w:rFonts w:ascii="Times New Roman" w:hAnsi="Times New Roman" w:cs="Times New Roman"/>
        </w:rPr>
      </w:pPr>
      <w:r w:rsidRPr="00D95978">
        <w:rPr>
          <w:rStyle w:val="FootnoteReference"/>
          <w:rFonts w:ascii="Times New Roman" w:hAnsi="Times New Roman" w:cs="Times New Roman"/>
        </w:rPr>
        <w:footnoteRef/>
      </w:r>
      <w:r w:rsidRPr="00D95978">
        <w:rPr>
          <w:rFonts w:ascii="Times New Roman" w:hAnsi="Times New Roman" w:cs="Times New Roman"/>
        </w:rPr>
        <w:t xml:space="preserve"> </w:t>
      </w:r>
      <w:r w:rsidR="00D95978" w:rsidRPr="00D95978">
        <w:rPr>
          <w:rFonts w:ascii="Times New Roman" w:hAnsi="Times New Roman" w:cs="Times New Roman"/>
          <w:color w:val="000000"/>
        </w:rPr>
        <w:t xml:space="preserve">INDIA </w:t>
      </w:r>
      <w:proofErr w:type="spellStart"/>
      <w:r w:rsidR="00D95978" w:rsidRPr="00D95978">
        <w:rPr>
          <w:rFonts w:ascii="Times New Roman" w:hAnsi="Times New Roman" w:cs="Times New Roman"/>
          <w:color w:val="000000"/>
        </w:rPr>
        <w:t>CONST.</w:t>
      </w:r>
      <w:r w:rsidR="007D0C24" w:rsidRPr="00D95978">
        <w:rPr>
          <w:rFonts w:ascii="Times New Roman" w:hAnsi="Times New Roman" w:cs="Times New Roman"/>
          <w:color w:val="000000"/>
        </w:rPr>
        <w:t>arts</w:t>
      </w:r>
      <w:proofErr w:type="spellEnd"/>
      <w:r w:rsidR="007D0C24" w:rsidRPr="00D95978">
        <w:rPr>
          <w:rFonts w:ascii="Times New Roman" w:hAnsi="Times New Roman" w:cs="Times New Roman"/>
          <w:color w:val="000000"/>
        </w:rPr>
        <w:t>. 14–16.</w:t>
      </w:r>
    </w:p>
  </w:footnote>
  <w:footnote w:id="7">
    <w:p w14:paraId="7B6DD8AF" w14:textId="52EFED64" w:rsidR="00F923EF" w:rsidRPr="00D95978" w:rsidRDefault="00F923EF" w:rsidP="00D95978">
      <w:pPr>
        <w:pStyle w:val="FootnoteText"/>
        <w:jc w:val="both"/>
        <w:rPr>
          <w:rFonts w:ascii="Times New Roman" w:hAnsi="Times New Roman" w:cs="Times New Roman"/>
        </w:rPr>
      </w:pPr>
      <w:r w:rsidRPr="00D95978">
        <w:rPr>
          <w:rStyle w:val="FootnoteReference"/>
          <w:rFonts w:ascii="Times New Roman" w:hAnsi="Times New Roman" w:cs="Times New Roman"/>
        </w:rPr>
        <w:footnoteRef/>
      </w:r>
      <w:r w:rsidRPr="00D95978">
        <w:rPr>
          <w:rFonts w:ascii="Times New Roman" w:hAnsi="Times New Roman" w:cs="Times New Roman"/>
        </w:rPr>
        <w:t xml:space="preserve"> </w:t>
      </w:r>
      <w:r w:rsidR="007D0C24" w:rsidRPr="00D95978">
        <w:rPr>
          <w:rFonts w:ascii="Times New Roman" w:hAnsi="Times New Roman" w:cs="Times New Roman"/>
          <w:color w:val="000000"/>
        </w:rPr>
        <w:t>Equality Now,</w:t>
      </w:r>
      <w:r w:rsidR="007D0C24" w:rsidRPr="00D95978">
        <w:rPr>
          <w:rStyle w:val="apple-converted-space"/>
          <w:rFonts w:ascii="Times New Roman" w:hAnsi="Times New Roman" w:cs="Times New Roman"/>
          <w:color w:val="000000"/>
        </w:rPr>
        <w:t> </w:t>
      </w:r>
      <w:r w:rsidR="007D0C24" w:rsidRPr="00D95978">
        <w:rPr>
          <w:rStyle w:val="Emphasis"/>
          <w:rFonts w:ascii="Times New Roman" w:hAnsi="Times New Roman" w:cs="Times New Roman"/>
          <w:color w:val="000000"/>
        </w:rPr>
        <w:t>Global Report on the State of Women’s Rights 2025</w:t>
      </w:r>
      <w:r w:rsidR="007D0C24" w:rsidRPr="00D95978">
        <w:rPr>
          <w:rStyle w:val="apple-converted-space"/>
          <w:rFonts w:ascii="Times New Roman" w:hAnsi="Times New Roman" w:cs="Times New Roman"/>
          <w:color w:val="000000"/>
        </w:rPr>
        <w:t> </w:t>
      </w:r>
      <w:r w:rsidR="007D0C24" w:rsidRPr="00D95978">
        <w:rPr>
          <w:rFonts w:ascii="Times New Roman" w:hAnsi="Times New Roman" w:cs="Times New Roman"/>
          <w:color w:val="000000"/>
        </w:rPr>
        <w:t>(2025).</w:t>
      </w:r>
    </w:p>
  </w:footnote>
  <w:footnote w:id="8">
    <w:p w14:paraId="5FA04F6E" w14:textId="6263709F" w:rsidR="0040381C" w:rsidRPr="00D95978" w:rsidRDefault="0040381C" w:rsidP="00D95978">
      <w:pPr>
        <w:pStyle w:val="FootnoteText"/>
        <w:jc w:val="both"/>
        <w:rPr>
          <w:rFonts w:ascii="Times New Roman" w:hAnsi="Times New Roman" w:cs="Times New Roman"/>
        </w:rPr>
      </w:pPr>
      <w:r w:rsidRPr="00D95978">
        <w:rPr>
          <w:rStyle w:val="FootnoteReference"/>
          <w:rFonts w:ascii="Times New Roman" w:hAnsi="Times New Roman" w:cs="Times New Roman"/>
        </w:rPr>
        <w:footnoteRef/>
      </w:r>
      <w:r w:rsidRPr="00D95978">
        <w:rPr>
          <w:rFonts w:ascii="Times New Roman" w:hAnsi="Times New Roman" w:cs="Times New Roman"/>
        </w:rPr>
        <w:t xml:space="preserve"> </w:t>
      </w:r>
      <w:r w:rsidR="007D0C24" w:rsidRPr="00D95978">
        <w:rPr>
          <w:rFonts w:ascii="Times New Roman" w:hAnsi="Times New Roman" w:cs="Times New Roman"/>
          <w:color w:val="000000"/>
        </w:rPr>
        <w:t>Sandra Fredman, Substantive Equality Revisited, 14 Int’l J. Const. L. 712 (2016).</w:t>
      </w:r>
    </w:p>
  </w:footnote>
  <w:footnote w:id="9">
    <w:p w14:paraId="2B49E24A" w14:textId="080A0A39" w:rsidR="00B80237" w:rsidRPr="00D95978" w:rsidRDefault="00B80237" w:rsidP="00D95978">
      <w:pPr>
        <w:pStyle w:val="FootnoteText"/>
        <w:jc w:val="both"/>
        <w:rPr>
          <w:rFonts w:ascii="Times New Roman" w:hAnsi="Times New Roman" w:cs="Times New Roman"/>
        </w:rPr>
      </w:pPr>
      <w:r w:rsidRPr="00D95978">
        <w:rPr>
          <w:rStyle w:val="FootnoteReference"/>
          <w:rFonts w:ascii="Times New Roman" w:hAnsi="Times New Roman" w:cs="Times New Roman"/>
        </w:rPr>
        <w:footnoteRef/>
      </w:r>
      <w:r w:rsidRPr="00D95978">
        <w:rPr>
          <w:rFonts w:ascii="Times New Roman" w:hAnsi="Times New Roman" w:cs="Times New Roman"/>
        </w:rPr>
        <w:t xml:space="preserve"> </w:t>
      </w:r>
      <w:r w:rsidR="007D0C24" w:rsidRPr="00D95978">
        <w:rPr>
          <w:rFonts w:ascii="Times New Roman" w:hAnsi="Times New Roman" w:cs="Times New Roman"/>
          <w:color w:val="000000"/>
        </w:rPr>
        <w:t>Comm. on Econ., Soc. &amp; Cultural Rights,</w:t>
      </w:r>
      <w:r w:rsidR="007D0C24" w:rsidRPr="00D95978">
        <w:rPr>
          <w:rStyle w:val="apple-converted-space"/>
          <w:rFonts w:ascii="Times New Roman" w:hAnsi="Times New Roman" w:cs="Times New Roman"/>
          <w:color w:val="000000"/>
        </w:rPr>
        <w:t> </w:t>
      </w:r>
      <w:r w:rsidR="007D0C24" w:rsidRPr="00D95978">
        <w:rPr>
          <w:rStyle w:val="Emphasis"/>
          <w:rFonts w:ascii="Times New Roman" w:hAnsi="Times New Roman" w:cs="Times New Roman"/>
          <w:color w:val="000000"/>
        </w:rPr>
        <w:t>Report on State Compliance with the International Covenant on Economic, Social and Cultural Rights</w:t>
      </w:r>
      <w:r w:rsidR="007D0C24" w:rsidRPr="00D95978">
        <w:rPr>
          <w:rStyle w:val="apple-converted-space"/>
          <w:rFonts w:ascii="Times New Roman" w:hAnsi="Times New Roman" w:cs="Times New Roman"/>
          <w:color w:val="000000"/>
        </w:rPr>
        <w:t> </w:t>
      </w:r>
      <w:r w:rsidR="007D0C24" w:rsidRPr="00D95978">
        <w:rPr>
          <w:rFonts w:ascii="Times New Roman" w:hAnsi="Times New Roman" w:cs="Times New Roman"/>
          <w:color w:val="000000"/>
        </w:rPr>
        <w:t>(2026).</w:t>
      </w:r>
    </w:p>
  </w:footnote>
  <w:footnote w:id="10">
    <w:p w14:paraId="219B7D28" w14:textId="4760C37B" w:rsidR="008438AF" w:rsidRPr="00D95978" w:rsidRDefault="008438AF" w:rsidP="00D95978">
      <w:pPr>
        <w:pStyle w:val="FootnoteText"/>
        <w:jc w:val="both"/>
        <w:rPr>
          <w:rFonts w:ascii="Times New Roman" w:hAnsi="Times New Roman" w:cs="Times New Roman"/>
        </w:rPr>
      </w:pPr>
      <w:r w:rsidRPr="00D95978">
        <w:rPr>
          <w:rStyle w:val="FootnoteReference"/>
          <w:rFonts w:ascii="Times New Roman" w:hAnsi="Times New Roman" w:cs="Times New Roman"/>
        </w:rPr>
        <w:footnoteRef/>
      </w:r>
      <w:r w:rsidRPr="00D95978">
        <w:rPr>
          <w:rFonts w:ascii="Times New Roman" w:hAnsi="Times New Roman" w:cs="Times New Roman"/>
        </w:rPr>
        <w:t xml:space="preserve"> </w:t>
      </w:r>
      <w:r w:rsidR="004666DA" w:rsidRPr="00D95978">
        <w:rPr>
          <w:rFonts w:ascii="Times New Roman" w:hAnsi="Times New Roman" w:cs="Times New Roman"/>
          <w:color w:val="000000"/>
        </w:rPr>
        <w:t>Code on Wages, No. 29 of 2019, §§ 3–5, India Code (2019).</w:t>
      </w:r>
    </w:p>
  </w:footnote>
  <w:footnote w:id="11">
    <w:p w14:paraId="7E94CF67" w14:textId="0C477DC9" w:rsidR="00205B67" w:rsidRPr="00D95978" w:rsidRDefault="00205B67" w:rsidP="00D95978">
      <w:pPr>
        <w:pStyle w:val="FootnoteText"/>
        <w:jc w:val="both"/>
        <w:rPr>
          <w:rFonts w:ascii="Times New Roman" w:hAnsi="Times New Roman" w:cs="Times New Roman"/>
        </w:rPr>
      </w:pPr>
      <w:r w:rsidRPr="00D95978">
        <w:rPr>
          <w:rStyle w:val="FootnoteReference"/>
          <w:rFonts w:ascii="Times New Roman" w:hAnsi="Times New Roman" w:cs="Times New Roman"/>
        </w:rPr>
        <w:footnoteRef/>
      </w:r>
      <w:r w:rsidRPr="00D95978">
        <w:rPr>
          <w:rFonts w:ascii="Times New Roman" w:hAnsi="Times New Roman" w:cs="Times New Roman"/>
        </w:rPr>
        <w:t xml:space="preserve"> </w:t>
      </w:r>
      <w:r w:rsidR="005D7C94" w:rsidRPr="00D95978">
        <w:rPr>
          <w:rFonts w:ascii="Times New Roman" w:hAnsi="Times New Roman" w:cs="Times New Roman"/>
          <w:color w:val="000000"/>
        </w:rPr>
        <w:t>Int’l Lab. Org.,</w:t>
      </w:r>
      <w:r w:rsidR="005D7C94" w:rsidRPr="00D95978">
        <w:rPr>
          <w:rStyle w:val="apple-converted-space"/>
          <w:rFonts w:ascii="Times New Roman" w:hAnsi="Times New Roman" w:cs="Times New Roman"/>
          <w:color w:val="000000"/>
        </w:rPr>
        <w:t> </w:t>
      </w:r>
      <w:r w:rsidR="005D7C94" w:rsidRPr="00D95978">
        <w:rPr>
          <w:rStyle w:val="Emphasis"/>
          <w:rFonts w:ascii="Times New Roman" w:hAnsi="Times New Roman" w:cs="Times New Roman"/>
          <w:color w:val="000000"/>
        </w:rPr>
        <w:t>India Wage Report: Wage Policies for Decent Work and Inclusive Growth</w:t>
      </w:r>
      <w:r w:rsidR="005D7C94" w:rsidRPr="00D95978">
        <w:rPr>
          <w:rStyle w:val="apple-converted-space"/>
          <w:rFonts w:ascii="Times New Roman" w:hAnsi="Times New Roman" w:cs="Times New Roman"/>
          <w:color w:val="000000"/>
        </w:rPr>
        <w:t> </w:t>
      </w:r>
      <w:r w:rsidR="005D7C94" w:rsidRPr="00D95978">
        <w:rPr>
          <w:rFonts w:ascii="Times New Roman" w:hAnsi="Times New Roman" w:cs="Times New Roman"/>
          <w:color w:val="000000"/>
        </w:rPr>
        <w:t>(2018).</w:t>
      </w:r>
    </w:p>
  </w:footnote>
  <w:footnote w:id="12">
    <w:p w14:paraId="086138CD" w14:textId="5AB68CE7" w:rsidR="00205B67" w:rsidRPr="00D95978" w:rsidRDefault="00205B67" w:rsidP="00D95978">
      <w:pPr>
        <w:pStyle w:val="FootnoteText"/>
        <w:jc w:val="both"/>
        <w:rPr>
          <w:rFonts w:ascii="Times New Roman" w:hAnsi="Times New Roman" w:cs="Times New Roman"/>
        </w:rPr>
      </w:pPr>
      <w:r w:rsidRPr="00D95978">
        <w:rPr>
          <w:rStyle w:val="FootnoteReference"/>
          <w:rFonts w:ascii="Times New Roman" w:hAnsi="Times New Roman" w:cs="Times New Roman"/>
        </w:rPr>
        <w:footnoteRef/>
      </w:r>
      <w:r w:rsidRPr="00D95978">
        <w:rPr>
          <w:rFonts w:ascii="Times New Roman" w:hAnsi="Times New Roman" w:cs="Times New Roman"/>
        </w:rPr>
        <w:t xml:space="preserve"> </w:t>
      </w:r>
      <w:r w:rsidR="0080568E" w:rsidRPr="00D95978">
        <w:rPr>
          <w:rFonts w:ascii="Times New Roman" w:hAnsi="Times New Roman" w:cs="Times New Roman"/>
          <w:color w:val="000000"/>
        </w:rPr>
        <w:t>Occupational Safety, Health and Working Conditions Code, No. 37 of 2020, § 66, India Code (2020).</w:t>
      </w:r>
    </w:p>
  </w:footnote>
  <w:footnote w:id="13">
    <w:p w14:paraId="109D3ACE" w14:textId="02061076" w:rsidR="006936B2" w:rsidRPr="00D95978" w:rsidRDefault="006936B2" w:rsidP="00D95978">
      <w:pPr>
        <w:pStyle w:val="FootnoteText"/>
        <w:jc w:val="both"/>
        <w:rPr>
          <w:rFonts w:ascii="Times New Roman" w:hAnsi="Times New Roman" w:cs="Times New Roman"/>
        </w:rPr>
      </w:pPr>
      <w:r w:rsidRPr="00D95978">
        <w:rPr>
          <w:rStyle w:val="FootnoteReference"/>
          <w:rFonts w:ascii="Times New Roman" w:hAnsi="Times New Roman" w:cs="Times New Roman"/>
        </w:rPr>
        <w:footnoteRef/>
      </w:r>
      <w:r w:rsidRPr="00D95978">
        <w:rPr>
          <w:rFonts w:ascii="Times New Roman" w:hAnsi="Times New Roman" w:cs="Times New Roman"/>
        </w:rPr>
        <w:t xml:space="preserve"> </w:t>
      </w:r>
      <w:r w:rsidR="00014E49" w:rsidRPr="00D95978">
        <w:rPr>
          <w:rFonts w:ascii="Times New Roman" w:hAnsi="Times New Roman" w:cs="Times New Roman"/>
          <w:color w:val="000000"/>
        </w:rPr>
        <w:t>Id. § 43.</w:t>
      </w:r>
    </w:p>
  </w:footnote>
  <w:footnote w:id="14">
    <w:p w14:paraId="1FEC58A7" w14:textId="1DDAB25C" w:rsidR="00CC69AB" w:rsidRPr="00D95978" w:rsidRDefault="00CC69AB" w:rsidP="00D95978">
      <w:pPr>
        <w:pStyle w:val="NormalWeb"/>
        <w:spacing w:before="0" w:beforeAutospacing="0" w:after="0" w:afterAutospacing="0"/>
        <w:jc w:val="both"/>
        <w:rPr>
          <w:color w:val="000000"/>
          <w:sz w:val="20"/>
          <w:szCs w:val="20"/>
        </w:rPr>
      </w:pPr>
      <w:r w:rsidRPr="00D95978">
        <w:rPr>
          <w:rStyle w:val="FootnoteReference"/>
          <w:sz w:val="20"/>
          <w:szCs w:val="20"/>
        </w:rPr>
        <w:footnoteRef/>
      </w:r>
      <w:r w:rsidRPr="00D95978">
        <w:rPr>
          <w:sz w:val="20"/>
          <w:szCs w:val="20"/>
        </w:rPr>
        <w:t xml:space="preserve"> </w:t>
      </w:r>
      <w:r w:rsidR="00E74A4A" w:rsidRPr="00D95978">
        <w:rPr>
          <w:color w:val="000000"/>
          <w:sz w:val="20"/>
          <w:szCs w:val="20"/>
        </w:rPr>
        <w:t>Ministry of Labour &amp; Employment, Gov’t of India,</w:t>
      </w:r>
      <w:r w:rsidR="00E74A4A" w:rsidRPr="00D95978">
        <w:rPr>
          <w:rStyle w:val="apple-converted-space"/>
          <w:rFonts w:eastAsiaTheme="majorEastAsia"/>
          <w:color w:val="000000"/>
          <w:sz w:val="20"/>
          <w:szCs w:val="20"/>
        </w:rPr>
        <w:t> </w:t>
      </w:r>
      <w:r w:rsidR="00E74A4A" w:rsidRPr="00D95978">
        <w:rPr>
          <w:rStyle w:val="Emphasis"/>
          <w:rFonts w:eastAsiaTheme="majorEastAsia"/>
          <w:color w:val="000000"/>
          <w:sz w:val="20"/>
          <w:szCs w:val="20"/>
        </w:rPr>
        <w:t>Status of Implementation of the Four Labour Codes</w:t>
      </w:r>
      <w:r w:rsidR="00E74A4A" w:rsidRPr="00D95978">
        <w:rPr>
          <w:rStyle w:val="apple-converted-space"/>
          <w:rFonts w:eastAsiaTheme="majorEastAsia"/>
          <w:color w:val="000000"/>
          <w:sz w:val="20"/>
          <w:szCs w:val="20"/>
        </w:rPr>
        <w:t> </w:t>
      </w:r>
      <w:r w:rsidR="00E74A4A" w:rsidRPr="00D95978">
        <w:rPr>
          <w:color w:val="000000"/>
          <w:sz w:val="20"/>
          <w:szCs w:val="20"/>
        </w:rPr>
        <w:t>(2026),</w:t>
      </w:r>
      <w:r w:rsidR="00E74A4A" w:rsidRPr="00D95978">
        <w:rPr>
          <w:rStyle w:val="apple-converted-space"/>
          <w:rFonts w:eastAsiaTheme="majorEastAsia"/>
          <w:color w:val="000000"/>
          <w:sz w:val="20"/>
          <w:szCs w:val="20"/>
        </w:rPr>
        <w:t> </w:t>
      </w:r>
      <w:hyperlink r:id="rId2" w:tgtFrame="_new" w:history="1">
        <w:r w:rsidR="00E74A4A" w:rsidRPr="00D95978">
          <w:rPr>
            <w:rStyle w:val="Hyperlink"/>
            <w:rFonts w:eastAsiaTheme="majorEastAsia"/>
            <w:sz w:val="20"/>
            <w:szCs w:val="20"/>
          </w:rPr>
          <w:t>https://labour.gov.in</w:t>
        </w:r>
      </w:hyperlink>
      <w:r w:rsidR="00E74A4A" w:rsidRPr="00D95978">
        <w:rPr>
          <w:color w:val="000000"/>
          <w:sz w:val="20"/>
          <w:szCs w:val="20"/>
        </w:rPr>
        <w:t>.</w:t>
      </w:r>
    </w:p>
  </w:footnote>
  <w:footnote w:id="15">
    <w:p w14:paraId="4F712968" w14:textId="55B6D192" w:rsidR="00D14376" w:rsidRPr="00D95978" w:rsidRDefault="00D14376" w:rsidP="00D95978">
      <w:pPr>
        <w:pStyle w:val="FootnoteText"/>
        <w:jc w:val="both"/>
        <w:rPr>
          <w:rFonts w:ascii="Times New Roman" w:hAnsi="Times New Roman" w:cs="Times New Roman"/>
        </w:rPr>
      </w:pPr>
      <w:r w:rsidRPr="00D95978">
        <w:rPr>
          <w:rStyle w:val="FootnoteReference"/>
          <w:rFonts w:ascii="Times New Roman" w:hAnsi="Times New Roman" w:cs="Times New Roman"/>
        </w:rPr>
        <w:footnoteRef/>
      </w:r>
      <w:r w:rsidRPr="00D95978">
        <w:rPr>
          <w:rFonts w:ascii="Times New Roman" w:hAnsi="Times New Roman" w:cs="Times New Roman"/>
        </w:rPr>
        <w:t xml:space="preserve"> </w:t>
      </w:r>
      <w:r w:rsidR="00E74A4A" w:rsidRPr="00D95978">
        <w:rPr>
          <w:rFonts w:ascii="Times New Roman" w:hAnsi="Times New Roman" w:cs="Times New Roman"/>
          <w:color w:val="000000"/>
        </w:rPr>
        <w:t>Id.</w:t>
      </w:r>
    </w:p>
  </w:footnote>
  <w:footnote w:id="16">
    <w:p w14:paraId="0A37C2FE" w14:textId="0B3B7D4A" w:rsidR="00407C57" w:rsidRPr="00D95978" w:rsidRDefault="00407C57" w:rsidP="00D95978">
      <w:pPr>
        <w:pStyle w:val="FootnoteText"/>
        <w:jc w:val="both"/>
        <w:rPr>
          <w:rFonts w:ascii="Times New Roman" w:hAnsi="Times New Roman" w:cs="Times New Roman"/>
        </w:rPr>
      </w:pPr>
      <w:r w:rsidRPr="00D95978">
        <w:rPr>
          <w:rStyle w:val="FootnoteReference"/>
          <w:rFonts w:ascii="Times New Roman" w:hAnsi="Times New Roman" w:cs="Times New Roman"/>
        </w:rPr>
        <w:footnoteRef/>
      </w:r>
      <w:r w:rsidRPr="00D95978">
        <w:rPr>
          <w:rFonts w:ascii="Times New Roman" w:hAnsi="Times New Roman" w:cs="Times New Roman"/>
        </w:rPr>
        <w:t xml:space="preserve"> </w:t>
      </w:r>
      <w:r w:rsidR="0080568E" w:rsidRPr="00D95978">
        <w:rPr>
          <w:rFonts w:ascii="Times New Roman" w:hAnsi="Times New Roman" w:cs="Times New Roman"/>
          <w:color w:val="000000"/>
        </w:rPr>
        <w:t>World Econ. Forum,</w:t>
      </w:r>
      <w:r w:rsidR="0080568E" w:rsidRPr="00D95978">
        <w:rPr>
          <w:rStyle w:val="apple-converted-space"/>
          <w:rFonts w:ascii="Times New Roman" w:hAnsi="Times New Roman" w:cs="Times New Roman"/>
          <w:color w:val="000000"/>
        </w:rPr>
        <w:t> </w:t>
      </w:r>
      <w:r w:rsidR="0080568E" w:rsidRPr="00D95978">
        <w:rPr>
          <w:rStyle w:val="Emphasis"/>
          <w:rFonts w:ascii="Times New Roman" w:hAnsi="Times New Roman" w:cs="Times New Roman"/>
          <w:color w:val="000000"/>
        </w:rPr>
        <w:t>Global Gender Gap Report 2025</w:t>
      </w:r>
      <w:r w:rsidR="0080568E" w:rsidRPr="00D95978">
        <w:rPr>
          <w:rStyle w:val="apple-converted-space"/>
          <w:rFonts w:ascii="Times New Roman" w:hAnsi="Times New Roman" w:cs="Times New Roman"/>
          <w:color w:val="000000"/>
        </w:rPr>
        <w:t> </w:t>
      </w:r>
      <w:r w:rsidR="0080568E" w:rsidRPr="00D95978">
        <w:rPr>
          <w:rFonts w:ascii="Times New Roman" w:hAnsi="Times New Roman" w:cs="Times New Roman"/>
          <w:color w:val="000000"/>
        </w:rPr>
        <w:t>(2025).</w:t>
      </w:r>
    </w:p>
  </w:footnote>
  <w:footnote w:id="17">
    <w:p w14:paraId="0E3EF39B" w14:textId="2C5ED228" w:rsidR="00595AB5" w:rsidRPr="00D95978" w:rsidRDefault="00595AB5" w:rsidP="00D95978">
      <w:pPr>
        <w:pStyle w:val="FootnoteText"/>
        <w:jc w:val="both"/>
        <w:rPr>
          <w:rFonts w:ascii="Times New Roman" w:hAnsi="Times New Roman" w:cs="Times New Roman"/>
        </w:rPr>
      </w:pPr>
      <w:r w:rsidRPr="00D95978">
        <w:rPr>
          <w:rStyle w:val="FootnoteReference"/>
          <w:rFonts w:ascii="Times New Roman" w:hAnsi="Times New Roman" w:cs="Times New Roman"/>
        </w:rPr>
        <w:footnoteRef/>
      </w:r>
      <w:r w:rsidRPr="00D95978">
        <w:rPr>
          <w:rFonts w:ascii="Times New Roman" w:hAnsi="Times New Roman" w:cs="Times New Roman"/>
        </w:rPr>
        <w:t xml:space="preserve"> </w:t>
      </w:r>
      <w:r w:rsidR="000C31E8" w:rsidRPr="00D95978">
        <w:rPr>
          <w:rFonts w:ascii="Times New Roman" w:hAnsi="Times New Roman" w:cs="Times New Roman"/>
          <w:color w:val="000000"/>
        </w:rPr>
        <w:t>NITI Aayog,</w:t>
      </w:r>
      <w:r w:rsidR="000C31E8" w:rsidRPr="00D95978">
        <w:rPr>
          <w:rStyle w:val="apple-converted-space"/>
          <w:rFonts w:ascii="Times New Roman" w:hAnsi="Times New Roman" w:cs="Times New Roman"/>
          <w:color w:val="000000"/>
        </w:rPr>
        <w:t> </w:t>
      </w:r>
      <w:r w:rsidR="000C31E8" w:rsidRPr="00D95978">
        <w:rPr>
          <w:rStyle w:val="Emphasis"/>
          <w:rFonts w:ascii="Times New Roman" w:hAnsi="Times New Roman" w:cs="Times New Roman"/>
          <w:color w:val="000000"/>
        </w:rPr>
        <w:t>Women’s Workforce Participation in India: Policy Analysis Report</w:t>
      </w:r>
      <w:r w:rsidR="000C31E8" w:rsidRPr="00D95978">
        <w:rPr>
          <w:rStyle w:val="apple-converted-space"/>
          <w:rFonts w:ascii="Times New Roman" w:hAnsi="Times New Roman" w:cs="Times New Roman"/>
          <w:color w:val="000000"/>
        </w:rPr>
        <w:t> </w:t>
      </w:r>
      <w:r w:rsidR="000C31E8" w:rsidRPr="00D95978">
        <w:rPr>
          <w:rFonts w:ascii="Times New Roman" w:hAnsi="Times New Roman" w:cs="Times New Roman"/>
          <w:color w:val="000000"/>
        </w:rPr>
        <w:t>(2025).</w:t>
      </w:r>
    </w:p>
  </w:footnote>
  <w:footnote w:id="18">
    <w:p w14:paraId="63E04A60" w14:textId="74FA9927" w:rsidR="00C846FD" w:rsidRPr="00D95978" w:rsidRDefault="00C846FD" w:rsidP="00D95978">
      <w:pPr>
        <w:pStyle w:val="FootnoteText"/>
        <w:jc w:val="both"/>
        <w:rPr>
          <w:rFonts w:ascii="Times New Roman" w:hAnsi="Times New Roman" w:cs="Times New Roman"/>
        </w:rPr>
      </w:pPr>
      <w:r w:rsidRPr="00D95978">
        <w:rPr>
          <w:rStyle w:val="FootnoteReference"/>
          <w:rFonts w:ascii="Times New Roman" w:hAnsi="Times New Roman" w:cs="Times New Roman"/>
        </w:rPr>
        <w:footnoteRef/>
      </w:r>
      <w:r w:rsidRPr="00D95978">
        <w:rPr>
          <w:rFonts w:ascii="Times New Roman" w:hAnsi="Times New Roman" w:cs="Times New Roman"/>
        </w:rPr>
        <w:t xml:space="preserve"> </w:t>
      </w:r>
      <w:r w:rsidR="000E7087" w:rsidRPr="00D95978">
        <w:rPr>
          <w:rFonts w:ascii="Times New Roman" w:hAnsi="Times New Roman" w:cs="Times New Roman"/>
          <w:color w:val="000000"/>
        </w:rPr>
        <w:t>Gov’t of India,</w:t>
      </w:r>
      <w:r w:rsidR="000E7087" w:rsidRPr="00D95978">
        <w:rPr>
          <w:rStyle w:val="apple-converted-space"/>
          <w:rFonts w:ascii="Times New Roman" w:hAnsi="Times New Roman" w:cs="Times New Roman"/>
          <w:color w:val="000000"/>
        </w:rPr>
        <w:t> </w:t>
      </w:r>
      <w:r w:rsidR="000E7087" w:rsidRPr="00D95978">
        <w:rPr>
          <w:rStyle w:val="Emphasis"/>
          <w:rFonts w:ascii="Times New Roman" w:hAnsi="Times New Roman" w:cs="Times New Roman"/>
          <w:color w:val="000000"/>
        </w:rPr>
        <w:t>Code on Social Security, 2020: Implementation Framework and Coverage of Gig and Platform Workers</w:t>
      </w:r>
      <w:r w:rsidR="000E7087" w:rsidRPr="00D95978">
        <w:rPr>
          <w:rStyle w:val="Emphasis"/>
          <w:rFonts w:ascii="Times New Roman" w:hAnsi="Times New Roman" w:cs="Times New Roman"/>
          <w:color w:val="000000"/>
        </w:rPr>
        <w:t xml:space="preserve"> </w:t>
      </w:r>
      <w:r w:rsidR="000E7087" w:rsidRPr="00D95978">
        <w:rPr>
          <w:rFonts w:ascii="Times New Roman" w:hAnsi="Times New Roman" w:cs="Times New Roman"/>
          <w:color w:val="000000"/>
        </w:rPr>
        <w:t xml:space="preserve">(Ministry of </w:t>
      </w:r>
      <w:proofErr w:type="spellStart"/>
      <w:r w:rsidR="000E7087" w:rsidRPr="00D95978">
        <w:rPr>
          <w:rFonts w:ascii="Times New Roman" w:hAnsi="Times New Roman" w:cs="Times New Roman"/>
          <w:color w:val="000000"/>
        </w:rPr>
        <w:t>Labour</w:t>
      </w:r>
      <w:proofErr w:type="spellEnd"/>
      <w:r w:rsidR="000E7087" w:rsidRPr="00D95978">
        <w:rPr>
          <w:rFonts w:ascii="Times New Roman" w:hAnsi="Times New Roman" w:cs="Times New Roman"/>
          <w:color w:val="000000"/>
        </w:rPr>
        <w:t xml:space="preserve"> &amp; Emp. 2025).</w:t>
      </w:r>
    </w:p>
  </w:footnote>
  <w:footnote w:id="19">
    <w:p w14:paraId="3F248F56" w14:textId="1DED6BEF" w:rsidR="003D6DAD" w:rsidRPr="00D95978" w:rsidRDefault="003D6DAD" w:rsidP="00D95978">
      <w:pPr>
        <w:pStyle w:val="FootnoteText"/>
        <w:jc w:val="both"/>
        <w:rPr>
          <w:rFonts w:ascii="Times New Roman" w:hAnsi="Times New Roman" w:cs="Times New Roman"/>
        </w:rPr>
      </w:pPr>
      <w:r w:rsidRPr="00D95978">
        <w:rPr>
          <w:rStyle w:val="FootnoteReference"/>
          <w:rFonts w:ascii="Times New Roman" w:hAnsi="Times New Roman" w:cs="Times New Roman"/>
        </w:rPr>
        <w:footnoteRef/>
      </w:r>
      <w:r w:rsidRPr="00D95978">
        <w:rPr>
          <w:rFonts w:ascii="Times New Roman" w:hAnsi="Times New Roman" w:cs="Times New Roman"/>
        </w:rPr>
        <w:t xml:space="preserve"> </w:t>
      </w:r>
      <w:r w:rsidR="00C910F2" w:rsidRPr="00D95978">
        <w:rPr>
          <w:rFonts w:ascii="Times New Roman" w:hAnsi="Times New Roman" w:cs="Times New Roman"/>
          <w:color w:val="000000"/>
        </w:rPr>
        <w:t>Code on Social Security, No. 36 of 2020, §§ 67–68, India Code (2020).</w:t>
      </w:r>
    </w:p>
  </w:footnote>
  <w:footnote w:id="20">
    <w:p w14:paraId="748CEF77" w14:textId="61296987" w:rsidR="00701E09" w:rsidRPr="00D95978" w:rsidRDefault="00701E09" w:rsidP="00D95978">
      <w:pPr>
        <w:pStyle w:val="FootnoteText"/>
        <w:jc w:val="both"/>
        <w:rPr>
          <w:rFonts w:ascii="Times New Roman" w:hAnsi="Times New Roman" w:cs="Times New Roman"/>
        </w:rPr>
      </w:pPr>
      <w:r w:rsidRPr="00D95978">
        <w:rPr>
          <w:rStyle w:val="FootnoteReference"/>
          <w:rFonts w:ascii="Times New Roman" w:hAnsi="Times New Roman" w:cs="Times New Roman"/>
        </w:rPr>
        <w:footnoteRef/>
      </w:r>
      <w:r w:rsidRPr="00D95978">
        <w:rPr>
          <w:rFonts w:ascii="Times New Roman" w:hAnsi="Times New Roman" w:cs="Times New Roman"/>
        </w:rPr>
        <w:t xml:space="preserve"> </w:t>
      </w:r>
      <w:r w:rsidR="00CF730E" w:rsidRPr="00D95978">
        <w:rPr>
          <w:rFonts w:ascii="Times New Roman" w:hAnsi="Times New Roman" w:cs="Times New Roman"/>
          <w:color w:val="000000"/>
        </w:rPr>
        <w:t>Code on Wages, No. 29 of 2019, § 3, India Code (2019).</w:t>
      </w:r>
    </w:p>
  </w:footnote>
  <w:footnote w:id="21">
    <w:p w14:paraId="14C04F91" w14:textId="73B0AE9E" w:rsidR="00701E09" w:rsidRPr="00D95978" w:rsidRDefault="00701E09" w:rsidP="00D95978">
      <w:pPr>
        <w:pStyle w:val="FootnoteText"/>
        <w:jc w:val="both"/>
        <w:rPr>
          <w:rFonts w:ascii="Times New Roman" w:hAnsi="Times New Roman" w:cs="Times New Roman"/>
        </w:rPr>
      </w:pPr>
      <w:r w:rsidRPr="00D95978">
        <w:rPr>
          <w:rStyle w:val="FootnoteReference"/>
          <w:rFonts w:ascii="Times New Roman" w:hAnsi="Times New Roman" w:cs="Times New Roman"/>
        </w:rPr>
        <w:footnoteRef/>
      </w:r>
      <w:r w:rsidRPr="00D95978">
        <w:rPr>
          <w:rFonts w:ascii="Times New Roman" w:hAnsi="Times New Roman" w:cs="Times New Roman"/>
        </w:rPr>
        <w:t xml:space="preserve"> </w:t>
      </w:r>
      <w:r w:rsidR="009738C6" w:rsidRPr="00D95978">
        <w:rPr>
          <w:rFonts w:ascii="Times New Roman" w:hAnsi="Times New Roman" w:cs="Times New Roman"/>
          <w:color w:val="000000"/>
        </w:rPr>
        <w:t>Int’l Lab. Org.,</w:t>
      </w:r>
      <w:r w:rsidR="009738C6" w:rsidRPr="00D95978">
        <w:rPr>
          <w:rStyle w:val="apple-converted-space"/>
          <w:rFonts w:ascii="Times New Roman" w:hAnsi="Times New Roman" w:cs="Times New Roman"/>
          <w:color w:val="000000"/>
        </w:rPr>
        <w:t> </w:t>
      </w:r>
      <w:r w:rsidR="009738C6" w:rsidRPr="00D95978">
        <w:rPr>
          <w:rStyle w:val="Emphasis"/>
          <w:rFonts w:ascii="Times New Roman" w:hAnsi="Times New Roman" w:cs="Times New Roman"/>
          <w:color w:val="000000"/>
        </w:rPr>
        <w:t>Extending Social Security to Workers in the Informal Economy</w:t>
      </w:r>
      <w:r w:rsidR="009738C6" w:rsidRPr="00D95978">
        <w:rPr>
          <w:rStyle w:val="apple-converted-space"/>
          <w:rFonts w:ascii="Times New Roman" w:hAnsi="Times New Roman" w:cs="Times New Roman"/>
          <w:color w:val="000000"/>
        </w:rPr>
        <w:t> </w:t>
      </w:r>
      <w:r w:rsidR="009738C6" w:rsidRPr="00D95978">
        <w:rPr>
          <w:rFonts w:ascii="Times New Roman" w:hAnsi="Times New Roman" w:cs="Times New Roman"/>
          <w:color w:val="000000"/>
        </w:rPr>
        <w:t>(ILO Policy Paper 2021).</w:t>
      </w:r>
    </w:p>
  </w:footnote>
  <w:footnote w:id="22">
    <w:p w14:paraId="27BE9460" w14:textId="681F4FD1" w:rsidR="00C74893" w:rsidRPr="00D95978" w:rsidRDefault="00C74893" w:rsidP="00D95978">
      <w:pPr>
        <w:pStyle w:val="FootnoteText"/>
        <w:jc w:val="both"/>
        <w:rPr>
          <w:rFonts w:ascii="Times New Roman" w:hAnsi="Times New Roman" w:cs="Times New Roman"/>
        </w:rPr>
      </w:pPr>
      <w:r w:rsidRPr="00D95978">
        <w:rPr>
          <w:rStyle w:val="FootnoteReference"/>
          <w:rFonts w:ascii="Times New Roman" w:hAnsi="Times New Roman" w:cs="Times New Roman"/>
        </w:rPr>
        <w:footnoteRef/>
      </w:r>
      <w:r w:rsidRPr="00D95978">
        <w:rPr>
          <w:rFonts w:ascii="Times New Roman" w:hAnsi="Times New Roman" w:cs="Times New Roman"/>
        </w:rPr>
        <w:t xml:space="preserve"> </w:t>
      </w:r>
      <w:r w:rsidR="00CF730E" w:rsidRPr="00D95978">
        <w:rPr>
          <w:rFonts w:ascii="Times New Roman" w:hAnsi="Times New Roman" w:cs="Times New Roman"/>
          <w:color w:val="000000"/>
        </w:rPr>
        <w:t>Occupational Safety, Health and Working Conditions Code, No. 37 of 2020, §§ 43, 66, India Code (2020).</w:t>
      </w:r>
    </w:p>
  </w:footnote>
  <w:footnote w:id="23">
    <w:p w14:paraId="37794211" w14:textId="09F9BB8A" w:rsidR="00C74893" w:rsidRPr="00D95978" w:rsidRDefault="00C74893" w:rsidP="00D95978">
      <w:pPr>
        <w:pStyle w:val="FootnoteText"/>
        <w:jc w:val="both"/>
        <w:rPr>
          <w:rFonts w:ascii="Times New Roman" w:hAnsi="Times New Roman" w:cs="Times New Roman"/>
        </w:rPr>
      </w:pPr>
      <w:r w:rsidRPr="00D95978">
        <w:rPr>
          <w:rStyle w:val="FootnoteReference"/>
          <w:rFonts w:ascii="Times New Roman" w:hAnsi="Times New Roman" w:cs="Times New Roman"/>
        </w:rPr>
        <w:footnoteRef/>
      </w:r>
      <w:r w:rsidRPr="00D95978">
        <w:rPr>
          <w:rFonts w:ascii="Times New Roman" w:hAnsi="Times New Roman" w:cs="Times New Roman"/>
        </w:rPr>
        <w:t xml:space="preserve"> </w:t>
      </w:r>
      <w:r w:rsidR="00CF730E" w:rsidRPr="00D95978">
        <w:rPr>
          <w:rFonts w:ascii="Times New Roman" w:hAnsi="Times New Roman" w:cs="Times New Roman"/>
          <w:color w:val="000000"/>
        </w:rPr>
        <w:t>Sexual Harassment of Women at Workplace (Prevention, Prohibition and Redressal) Act, No. 14 of 2013, India Code (2013).</w:t>
      </w:r>
    </w:p>
  </w:footnote>
  <w:footnote w:id="24">
    <w:p w14:paraId="71BC3382" w14:textId="35C362ED" w:rsidR="000C05A3" w:rsidRPr="00D95978" w:rsidRDefault="000C05A3" w:rsidP="00D95978">
      <w:pPr>
        <w:pStyle w:val="FootnoteText"/>
        <w:jc w:val="both"/>
        <w:rPr>
          <w:rFonts w:ascii="Times New Roman" w:hAnsi="Times New Roman" w:cs="Times New Roman"/>
        </w:rPr>
      </w:pPr>
      <w:r w:rsidRPr="00D95978">
        <w:rPr>
          <w:rStyle w:val="FootnoteReference"/>
          <w:rFonts w:ascii="Times New Roman" w:hAnsi="Times New Roman" w:cs="Times New Roman"/>
        </w:rPr>
        <w:footnoteRef/>
      </w:r>
      <w:r w:rsidRPr="00D95978">
        <w:rPr>
          <w:rFonts w:ascii="Times New Roman" w:hAnsi="Times New Roman" w:cs="Times New Roman"/>
        </w:rPr>
        <w:t xml:space="preserve"> </w:t>
      </w:r>
      <w:r w:rsidR="00EC4CCC" w:rsidRPr="00D95978">
        <w:rPr>
          <w:rFonts w:ascii="Times New Roman" w:hAnsi="Times New Roman" w:cs="Times New Roman"/>
          <w:color w:val="000000"/>
        </w:rPr>
        <w:t>Industrial Relations Code, No. 35 of 2020, §§ 4–9, India Code (2020).</w:t>
      </w:r>
    </w:p>
  </w:footnote>
  <w:footnote w:id="25">
    <w:p w14:paraId="43976935" w14:textId="33BDBC3A" w:rsidR="0087052F" w:rsidRPr="00D95978" w:rsidRDefault="0087052F" w:rsidP="00D95978">
      <w:pPr>
        <w:pStyle w:val="FootnoteText"/>
        <w:jc w:val="both"/>
        <w:rPr>
          <w:rFonts w:ascii="Times New Roman" w:hAnsi="Times New Roman" w:cs="Times New Roman"/>
        </w:rPr>
      </w:pPr>
      <w:r w:rsidRPr="00D95978">
        <w:rPr>
          <w:rStyle w:val="FootnoteReference"/>
          <w:rFonts w:ascii="Times New Roman" w:hAnsi="Times New Roman" w:cs="Times New Roman"/>
        </w:rPr>
        <w:footnoteRef/>
      </w:r>
      <w:r w:rsidRPr="00D95978">
        <w:rPr>
          <w:rFonts w:ascii="Times New Roman" w:hAnsi="Times New Roman" w:cs="Times New Roman"/>
        </w:rPr>
        <w:t xml:space="preserve"> </w:t>
      </w:r>
      <w:r w:rsidR="00EC4CCC" w:rsidRPr="00D95978">
        <w:rPr>
          <w:rFonts w:ascii="Times New Roman" w:hAnsi="Times New Roman" w:cs="Times New Roman"/>
          <w:color w:val="000000"/>
        </w:rPr>
        <w:t>Occupational Safety, Health and Working Conditions Code, No. 37 of 2020, §§ 43, 66, India Code (2020).</w:t>
      </w:r>
    </w:p>
  </w:footnote>
  <w:footnote w:id="26">
    <w:p w14:paraId="2960CA75" w14:textId="580461CF" w:rsidR="0087052F" w:rsidRPr="00D95978" w:rsidRDefault="0087052F" w:rsidP="00D95978">
      <w:pPr>
        <w:pStyle w:val="FootnoteText"/>
        <w:jc w:val="both"/>
        <w:rPr>
          <w:rFonts w:ascii="Times New Roman" w:hAnsi="Times New Roman" w:cs="Times New Roman"/>
        </w:rPr>
      </w:pPr>
      <w:r w:rsidRPr="00D95978">
        <w:rPr>
          <w:rStyle w:val="FootnoteReference"/>
          <w:rFonts w:ascii="Times New Roman" w:hAnsi="Times New Roman" w:cs="Times New Roman"/>
        </w:rPr>
        <w:footnoteRef/>
      </w:r>
      <w:r w:rsidRPr="00D95978">
        <w:rPr>
          <w:rFonts w:ascii="Times New Roman" w:hAnsi="Times New Roman" w:cs="Times New Roman"/>
        </w:rPr>
        <w:t xml:space="preserve"> </w:t>
      </w:r>
      <w:r w:rsidR="00585B7D" w:rsidRPr="00D95978">
        <w:rPr>
          <w:rFonts w:ascii="Times New Roman" w:hAnsi="Times New Roman" w:cs="Times New Roman"/>
          <w:color w:val="000000"/>
        </w:rPr>
        <w:t xml:space="preserve">Ministry of </w:t>
      </w:r>
      <w:proofErr w:type="spellStart"/>
      <w:r w:rsidR="00585B7D" w:rsidRPr="00D95978">
        <w:rPr>
          <w:rFonts w:ascii="Times New Roman" w:hAnsi="Times New Roman" w:cs="Times New Roman"/>
          <w:color w:val="000000"/>
        </w:rPr>
        <w:t>Labour</w:t>
      </w:r>
      <w:proofErr w:type="spellEnd"/>
      <w:r w:rsidR="00585B7D" w:rsidRPr="00D95978">
        <w:rPr>
          <w:rFonts w:ascii="Times New Roman" w:hAnsi="Times New Roman" w:cs="Times New Roman"/>
          <w:color w:val="000000"/>
        </w:rPr>
        <w:t xml:space="preserve"> &amp; Employment, Gov’t of India,</w:t>
      </w:r>
      <w:r w:rsidR="00585B7D" w:rsidRPr="00D95978">
        <w:rPr>
          <w:rStyle w:val="apple-converted-space"/>
          <w:rFonts w:ascii="Times New Roman" w:hAnsi="Times New Roman" w:cs="Times New Roman"/>
          <w:color w:val="000000"/>
        </w:rPr>
        <w:t> </w:t>
      </w:r>
      <w:r w:rsidR="00585B7D" w:rsidRPr="00D95978">
        <w:rPr>
          <w:rStyle w:val="Emphasis"/>
          <w:rFonts w:ascii="Times New Roman" w:hAnsi="Times New Roman" w:cs="Times New Roman"/>
          <w:color w:val="000000"/>
        </w:rPr>
        <w:t xml:space="preserve">Guidelines for Women Working in Night Shifts under </w:t>
      </w:r>
      <w:proofErr w:type="spellStart"/>
      <w:r w:rsidR="00585B7D" w:rsidRPr="00D95978">
        <w:rPr>
          <w:rStyle w:val="Emphasis"/>
          <w:rFonts w:ascii="Times New Roman" w:hAnsi="Times New Roman" w:cs="Times New Roman"/>
          <w:color w:val="000000"/>
        </w:rPr>
        <w:t>Labour</w:t>
      </w:r>
      <w:proofErr w:type="spellEnd"/>
      <w:r w:rsidR="00585B7D" w:rsidRPr="00D95978">
        <w:rPr>
          <w:rStyle w:val="Emphasis"/>
          <w:rFonts w:ascii="Times New Roman" w:hAnsi="Times New Roman" w:cs="Times New Roman"/>
          <w:color w:val="000000"/>
        </w:rPr>
        <w:t xml:space="preserve"> Codes</w:t>
      </w:r>
      <w:r w:rsidR="00585B7D" w:rsidRPr="00D95978">
        <w:rPr>
          <w:rStyle w:val="Emphasis"/>
          <w:rFonts w:ascii="Times New Roman" w:hAnsi="Times New Roman" w:cs="Times New Roman"/>
          <w:color w:val="000000"/>
        </w:rPr>
        <w:t xml:space="preserve"> </w:t>
      </w:r>
      <w:r w:rsidR="00585B7D" w:rsidRPr="00D95978">
        <w:rPr>
          <w:rFonts w:ascii="Times New Roman" w:hAnsi="Times New Roman" w:cs="Times New Roman"/>
          <w:color w:val="000000"/>
        </w:rPr>
        <w:t>(Policy Brief 2024).</w:t>
      </w:r>
    </w:p>
  </w:footnote>
  <w:footnote w:id="27">
    <w:p w14:paraId="1FEA6313" w14:textId="10644AB1" w:rsidR="005F1642" w:rsidRPr="00D95978" w:rsidRDefault="005F1642" w:rsidP="00D95978">
      <w:pPr>
        <w:pStyle w:val="FootnoteText"/>
        <w:jc w:val="both"/>
        <w:rPr>
          <w:rFonts w:ascii="Times New Roman" w:hAnsi="Times New Roman" w:cs="Times New Roman"/>
        </w:rPr>
      </w:pPr>
      <w:r w:rsidRPr="00D95978">
        <w:rPr>
          <w:rStyle w:val="FootnoteReference"/>
          <w:rFonts w:ascii="Times New Roman" w:hAnsi="Times New Roman" w:cs="Times New Roman"/>
        </w:rPr>
        <w:footnoteRef/>
      </w:r>
      <w:r w:rsidRPr="00D95978">
        <w:rPr>
          <w:rFonts w:ascii="Times New Roman" w:hAnsi="Times New Roman" w:cs="Times New Roman"/>
        </w:rPr>
        <w:t xml:space="preserve"> </w:t>
      </w:r>
      <w:r w:rsidR="00585B7D" w:rsidRPr="00D95978">
        <w:rPr>
          <w:rFonts w:ascii="Times New Roman" w:hAnsi="Times New Roman" w:cs="Times New Roman"/>
          <w:color w:val="000000"/>
        </w:rPr>
        <w:t>Gov’t of India,</w:t>
      </w:r>
      <w:r w:rsidR="00585B7D" w:rsidRPr="00D95978">
        <w:rPr>
          <w:rStyle w:val="apple-converted-space"/>
          <w:rFonts w:ascii="Times New Roman" w:hAnsi="Times New Roman" w:cs="Times New Roman"/>
          <w:color w:val="000000"/>
        </w:rPr>
        <w:t> </w:t>
      </w:r>
      <w:r w:rsidR="00585B7D" w:rsidRPr="00D95978">
        <w:rPr>
          <w:rStyle w:val="Emphasis"/>
          <w:rFonts w:ascii="Times New Roman" w:hAnsi="Times New Roman" w:cs="Times New Roman"/>
          <w:color w:val="000000"/>
        </w:rPr>
        <w:t>Union Budget 2026–27: Gender Budget Statement</w:t>
      </w:r>
      <w:r w:rsidR="00585B7D" w:rsidRPr="00D95978">
        <w:rPr>
          <w:rStyle w:val="apple-converted-space"/>
          <w:rFonts w:ascii="Times New Roman" w:hAnsi="Times New Roman" w:cs="Times New Roman"/>
          <w:color w:val="000000"/>
        </w:rPr>
        <w:t> </w:t>
      </w:r>
      <w:r w:rsidR="00585B7D" w:rsidRPr="00D95978">
        <w:rPr>
          <w:rFonts w:ascii="Times New Roman" w:hAnsi="Times New Roman" w:cs="Times New Roman"/>
          <w:color w:val="000000"/>
        </w:rPr>
        <w:t>(Ministry of Fin. 2026).</w:t>
      </w:r>
    </w:p>
  </w:footnote>
  <w:footnote w:id="28">
    <w:p w14:paraId="64AE8E92" w14:textId="42961B8D" w:rsidR="009E0A83" w:rsidRPr="00D95978" w:rsidRDefault="009E0A83" w:rsidP="00D95978">
      <w:pPr>
        <w:pStyle w:val="FootnoteText"/>
        <w:jc w:val="both"/>
        <w:rPr>
          <w:rFonts w:ascii="Times New Roman" w:hAnsi="Times New Roman" w:cs="Times New Roman"/>
        </w:rPr>
      </w:pPr>
      <w:r w:rsidRPr="00D95978">
        <w:rPr>
          <w:rStyle w:val="FootnoteReference"/>
          <w:rFonts w:ascii="Times New Roman" w:hAnsi="Times New Roman" w:cs="Times New Roman"/>
        </w:rPr>
        <w:footnoteRef/>
      </w:r>
      <w:r w:rsidRPr="00D95978">
        <w:rPr>
          <w:rFonts w:ascii="Times New Roman" w:hAnsi="Times New Roman" w:cs="Times New Roman"/>
        </w:rPr>
        <w:t xml:space="preserve"> </w:t>
      </w:r>
      <w:r w:rsidR="0011607F" w:rsidRPr="00D95978">
        <w:rPr>
          <w:rFonts w:ascii="Times New Roman" w:hAnsi="Times New Roman" w:cs="Times New Roman"/>
          <w:color w:val="000000"/>
        </w:rPr>
        <w:t>Ministry of Micro, Small &amp; Medium Enterprises,</w:t>
      </w:r>
      <w:r w:rsidR="0011607F" w:rsidRPr="00D95978">
        <w:rPr>
          <w:rStyle w:val="apple-converted-space"/>
          <w:rFonts w:ascii="Times New Roman" w:hAnsi="Times New Roman" w:cs="Times New Roman"/>
          <w:color w:val="000000"/>
        </w:rPr>
        <w:t> </w:t>
      </w:r>
      <w:r w:rsidR="0011607F" w:rsidRPr="00D95978">
        <w:rPr>
          <w:rStyle w:val="Emphasis"/>
          <w:rFonts w:ascii="Times New Roman" w:hAnsi="Times New Roman" w:cs="Times New Roman"/>
          <w:color w:val="000000"/>
        </w:rPr>
        <w:t>Annual Report on MSME Sector and Employment Trends</w:t>
      </w:r>
      <w:r w:rsidR="0011607F" w:rsidRPr="00D95978">
        <w:rPr>
          <w:rStyle w:val="apple-converted-space"/>
          <w:rFonts w:ascii="Times New Roman" w:hAnsi="Times New Roman" w:cs="Times New Roman"/>
          <w:color w:val="000000"/>
        </w:rPr>
        <w:t> </w:t>
      </w:r>
      <w:r w:rsidR="0011607F" w:rsidRPr="00D95978">
        <w:rPr>
          <w:rFonts w:ascii="Times New Roman" w:hAnsi="Times New Roman" w:cs="Times New Roman"/>
          <w:color w:val="000000"/>
        </w:rPr>
        <w:t>(2025).</w:t>
      </w:r>
    </w:p>
  </w:footnote>
  <w:footnote w:id="29">
    <w:p w14:paraId="0F7EEDBE" w14:textId="7C8D2468" w:rsidR="00382948" w:rsidRPr="00D95978" w:rsidRDefault="00382948" w:rsidP="00D95978">
      <w:pPr>
        <w:pStyle w:val="FootnoteText"/>
        <w:jc w:val="both"/>
        <w:rPr>
          <w:rFonts w:ascii="Times New Roman" w:hAnsi="Times New Roman" w:cs="Times New Roman"/>
        </w:rPr>
      </w:pPr>
      <w:r w:rsidRPr="00D95978">
        <w:rPr>
          <w:rStyle w:val="FootnoteReference"/>
          <w:rFonts w:ascii="Times New Roman" w:hAnsi="Times New Roman" w:cs="Times New Roman"/>
        </w:rPr>
        <w:footnoteRef/>
      </w:r>
      <w:r w:rsidRPr="00D95978">
        <w:rPr>
          <w:rFonts w:ascii="Times New Roman" w:hAnsi="Times New Roman" w:cs="Times New Roman"/>
        </w:rPr>
        <w:t xml:space="preserve"> </w:t>
      </w:r>
      <w:r w:rsidR="0011607F" w:rsidRPr="00D95978">
        <w:rPr>
          <w:rFonts w:ascii="Times New Roman" w:hAnsi="Times New Roman" w:cs="Times New Roman"/>
          <w:color w:val="000000"/>
        </w:rPr>
        <w:t xml:space="preserve">Ministry of </w:t>
      </w:r>
      <w:proofErr w:type="spellStart"/>
      <w:r w:rsidR="0011607F" w:rsidRPr="00D95978">
        <w:rPr>
          <w:rFonts w:ascii="Times New Roman" w:hAnsi="Times New Roman" w:cs="Times New Roman"/>
          <w:color w:val="000000"/>
        </w:rPr>
        <w:t>Labour</w:t>
      </w:r>
      <w:proofErr w:type="spellEnd"/>
      <w:r w:rsidR="0011607F" w:rsidRPr="00D95978">
        <w:rPr>
          <w:rFonts w:ascii="Times New Roman" w:hAnsi="Times New Roman" w:cs="Times New Roman"/>
          <w:color w:val="000000"/>
        </w:rPr>
        <w:t xml:space="preserve"> &amp; Employment, Gov’t of India,</w:t>
      </w:r>
      <w:r w:rsidR="0011607F" w:rsidRPr="00D95978">
        <w:rPr>
          <w:rStyle w:val="apple-converted-space"/>
          <w:rFonts w:ascii="Times New Roman" w:hAnsi="Times New Roman" w:cs="Times New Roman"/>
          <w:color w:val="000000"/>
        </w:rPr>
        <w:t> </w:t>
      </w:r>
      <w:r w:rsidR="0011607F" w:rsidRPr="00D95978">
        <w:rPr>
          <w:rStyle w:val="Emphasis"/>
          <w:rFonts w:ascii="Times New Roman" w:hAnsi="Times New Roman" w:cs="Times New Roman"/>
          <w:color w:val="000000"/>
        </w:rPr>
        <w:t xml:space="preserve">Digital </w:t>
      </w:r>
      <w:proofErr w:type="spellStart"/>
      <w:r w:rsidR="0011607F" w:rsidRPr="00D95978">
        <w:rPr>
          <w:rStyle w:val="Emphasis"/>
          <w:rFonts w:ascii="Times New Roman" w:hAnsi="Times New Roman" w:cs="Times New Roman"/>
          <w:color w:val="000000"/>
        </w:rPr>
        <w:t>Labour</w:t>
      </w:r>
      <w:proofErr w:type="spellEnd"/>
      <w:r w:rsidR="0011607F" w:rsidRPr="00D95978">
        <w:rPr>
          <w:rStyle w:val="Emphasis"/>
          <w:rFonts w:ascii="Times New Roman" w:hAnsi="Times New Roman" w:cs="Times New Roman"/>
          <w:color w:val="000000"/>
        </w:rPr>
        <w:t xml:space="preserve"> Compliance and Inspection System Framework</w:t>
      </w:r>
      <w:r w:rsidR="0094232F" w:rsidRPr="00D95978">
        <w:rPr>
          <w:rStyle w:val="Emphasis"/>
          <w:rFonts w:ascii="Times New Roman" w:hAnsi="Times New Roman" w:cs="Times New Roman"/>
          <w:color w:val="000000"/>
        </w:rPr>
        <w:t xml:space="preserve"> </w:t>
      </w:r>
      <w:r w:rsidR="0011607F" w:rsidRPr="00D95978">
        <w:rPr>
          <w:rFonts w:ascii="Times New Roman" w:hAnsi="Times New Roman" w:cs="Times New Roman"/>
          <w:color w:val="000000"/>
        </w:rPr>
        <w:t>(2025).</w:t>
      </w:r>
    </w:p>
  </w:footnote>
  <w:footnote w:id="30">
    <w:p w14:paraId="22350212" w14:textId="36855962" w:rsidR="00382948" w:rsidRPr="00D95978" w:rsidRDefault="00382948" w:rsidP="00D95978">
      <w:pPr>
        <w:pStyle w:val="FootnoteText"/>
        <w:jc w:val="both"/>
        <w:rPr>
          <w:rFonts w:ascii="Times New Roman" w:hAnsi="Times New Roman" w:cs="Times New Roman"/>
        </w:rPr>
      </w:pPr>
      <w:r w:rsidRPr="00D95978">
        <w:rPr>
          <w:rStyle w:val="FootnoteReference"/>
          <w:rFonts w:ascii="Times New Roman" w:hAnsi="Times New Roman" w:cs="Times New Roman"/>
        </w:rPr>
        <w:footnoteRef/>
      </w:r>
      <w:r w:rsidRPr="00D95978">
        <w:rPr>
          <w:rFonts w:ascii="Times New Roman" w:hAnsi="Times New Roman" w:cs="Times New Roman"/>
        </w:rPr>
        <w:t xml:space="preserve"> </w:t>
      </w:r>
      <w:r w:rsidR="0094232F" w:rsidRPr="00D95978">
        <w:rPr>
          <w:rFonts w:ascii="Times New Roman" w:hAnsi="Times New Roman" w:cs="Times New Roman"/>
          <w:color w:val="000000"/>
        </w:rPr>
        <w:t>Sexual Harassment of Women at Workplace (Prevention, Prohibition and Redressal) Act, No. 14 of 2013, India Code (2013).</w:t>
      </w:r>
    </w:p>
  </w:footnote>
  <w:footnote w:id="31">
    <w:p w14:paraId="5F6C8432" w14:textId="6E4F533F" w:rsidR="004C520C" w:rsidRPr="00D95978" w:rsidRDefault="004C520C" w:rsidP="00D95978">
      <w:pPr>
        <w:pStyle w:val="FootnoteText"/>
        <w:jc w:val="both"/>
        <w:rPr>
          <w:rFonts w:ascii="Times New Roman" w:hAnsi="Times New Roman" w:cs="Times New Roman"/>
        </w:rPr>
      </w:pPr>
      <w:r w:rsidRPr="00D95978">
        <w:rPr>
          <w:rStyle w:val="FootnoteReference"/>
          <w:rFonts w:ascii="Times New Roman" w:hAnsi="Times New Roman" w:cs="Times New Roman"/>
        </w:rPr>
        <w:footnoteRef/>
      </w:r>
      <w:r w:rsidRPr="00D95978">
        <w:rPr>
          <w:rFonts w:ascii="Times New Roman" w:hAnsi="Times New Roman" w:cs="Times New Roman"/>
        </w:rPr>
        <w:t xml:space="preserve"> </w:t>
      </w:r>
      <w:r w:rsidR="00A11703" w:rsidRPr="00D95978">
        <w:rPr>
          <w:rFonts w:ascii="Times New Roman" w:hAnsi="Times New Roman" w:cs="Times New Roman"/>
          <w:color w:val="000000"/>
        </w:rPr>
        <w:t>Int’l Lab. Org.,</w:t>
      </w:r>
      <w:r w:rsidR="00A11703" w:rsidRPr="00D95978">
        <w:rPr>
          <w:rStyle w:val="apple-converted-space"/>
          <w:rFonts w:ascii="Times New Roman" w:hAnsi="Times New Roman" w:cs="Times New Roman"/>
          <w:color w:val="000000"/>
        </w:rPr>
        <w:t> </w:t>
      </w:r>
      <w:r w:rsidR="00A11703" w:rsidRPr="00D95978">
        <w:rPr>
          <w:rStyle w:val="Emphasis"/>
          <w:rFonts w:ascii="Times New Roman" w:hAnsi="Times New Roman" w:cs="Times New Roman"/>
          <w:color w:val="000000"/>
        </w:rPr>
        <w:t>Gender Equality and Decent Work in India</w:t>
      </w:r>
      <w:r w:rsidR="00A11703" w:rsidRPr="00D95978">
        <w:rPr>
          <w:rStyle w:val="apple-converted-space"/>
          <w:rFonts w:ascii="Times New Roman" w:hAnsi="Times New Roman" w:cs="Times New Roman"/>
          <w:color w:val="000000"/>
        </w:rPr>
        <w:t> </w:t>
      </w:r>
      <w:r w:rsidR="00A11703" w:rsidRPr="00D95978">
        <w:rPr>
          <w:rFonts w:ascii="Times New Roman" w:hAnsi="Times New Roman" w:cs="Times New Roman"/>
          <w:color w:val="000000"/>
        </w:rPr>
        <w:t>(ILO Policy Paper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5207E"/>
    <w:multiLevelType w:val="multilevel"/>
    <w:tmpl w:val="8A567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513B5F"/>
    <w:multiLevelType w:val="multilevel"/>
    <w:tmpl w:val="EAA2DBA6"/>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2465C2E"/>
    <w:multiLevelType w:val="multilevel"/>
    <w:tmpl w:val="2CDA29A4"/>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852FCC"/>
    <w:multiLevelType w:val="multilevel"/>
    <w:tmpl w:val="C32A9DAE"/>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87582D"/>
    <w:multiLevelType w:val="multilevel"/>
    <w:tmpl w:val="FD507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BFA7370"/>
    <w:multiLevelType w:val="multilevel"/>
    <w:tmpl w:val="D590A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1556923"/>
    <w:multiLevelType w:val="multilevel"/>
    <w:tmpl w:val="7D046812"/>
    <w:lvl w:ilvl="0">
      <w:start w:val="5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FE347A0"/>
    <w:multiLevelType w:val="multilevel"/>
    <w:tmpl w:val="EC3073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6630F5C"/>
    <w:multiLevelType w:val="multilevel"/>
    <w:tmpl w:val="F132D338"/>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B901617"/>
    <w:multiLevelType w:val="multilevel"/>
    <w:tmpl w:val="5A0025A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10886886">
    <w:abstractNumId w:val="5"/>
  </w:num>
  <w:num w:numId="2" w16cid:durableId="866528005">
    <w:abstractNumId w:val="9"/>
  </w:num>
  <w:num w:numId="3" w16cid:durableId="21714235">
    <w:abstractNumId w:val="1"/>
  </w:num>
  <w:num w:numId="4" w16cid:durableId="1674214872">
    <w:abstractNumId w:val="2"/>
  </w:num>
  <w:num w:numId="5" w16cid:durableId="1442994044">
    <w:abstractNumId w:val="8"/>
  </w:num>
  <w:num w:numId="6" w16cid:durableId="2126803040">
    <w:abstractNumId w:val="6"/>
  </w:num>
  <w:num w:numId="7" w16cid:durableId="1213346161">
    <w:abstractNumId w:val="3"/>
  </w:num>
  <w:num w:numId="8" w16cid:durableId="743646368">
    <w:abstractNumId w:val="4"/>
  </w:num>
  <w:num w:numId="9" w16cid:durableId="1682467580">
    <w:abstractNumId w:val="7"/>
  </w:num>
  <w:num w:numId="10" w16cid:durableId="257904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57D"/>
    <w:rsid w:val="0000655A"/>
    <w:rsid w:val="00007CD9"/>
    <w:rsid w:val="00014E49"/>
    <w:rsid w:val="00040F6B"/>
    <w:rsid w:val="00051FB7"/>
    <w:rsid w:val="0007331A"/>
    <w:rsid w:val="00075611"/>
    <w:rsid w:val="00076309"/>
    <w:rsid w:val="00092696"/>
    <w:rsid w:val="000A7034"/>
    <w:rsid w:val="000B3608"/>
    <w:rsid w:val="000B3AB0"/>
    <w:rsid w:val="000C05A3"/>
    <w:rsid w:val="000C31E8"/>
    <w:rsid w:val="000C4E8E"/>
    <w:rsid w:val="000C656B"/>
    <w:rsid w:val="000E4A73"/>
    <w:rsid w:val="000E7087"/>
    <w:rsid w:val="0011607F"/>
    <w:rsid w:val="00135E9D"/>
    <w:rsid w:val="00150606"/>
    <w:rsid w:val="001558D3"/>
    <w:rsid w:val="00162075"/>
    <w:rsid w:val="0016694F"/>
    <w:rsid w:val="001678A8"/>
    <w:rsid w:val="00167A2D"/>
    <w:rsid w:val="00177A57"/>
    <w:rsid w:val="001818F1"/>
    <w:rsid w:val="00184158"/>
    <w:rsid w:val="00195C74"/>
    <w:rsid w:val="001B1EB6"/>
    <w:rsid w:val="001C79DC"/>
    <w:rsid w:val="001D1915"/>
    <w:rsid w:val="001E5253"/>
    <w:rsid w:val="002028DE"/>
    <w:rsid w:val="00205B67"/>
    <w:rsid w:val="00213B26"/>
    <w:rsid w:val="0023492D"/>
    <w:rsid w:val="00236F7D"/>
    <w:rsid w:val="00282A40"/>
    <w:rsid w:val="002A787C"/>
    <w:rsid w:val="002A7E94"/>
    <w:rsid w:val="002B0F32"/>
    <w:rsid w:val="002B257D"/>
    <w:rsid w:val="002D2CAC"/>
    <w:rsid w:val="002D7A44"/>
    <w:rsid w:val="002E0B3F"/>
    <w:rsid w:val="002E0BC8"/>
    <w:rsid w:val="002F545F"/>
    <w:rsid w:val="002F7813"/>
    <w:rsid w:val="003020C0"/>
    <w:rsid w:val="0030751C"/>
    <w:rsid w:val="00313ADA"/>
    <w:rsid w:val="00316FE6"/>
    <w:rsid w:val="0032597C"/>
    <w:rsid w:val="00335C66"/>
    <w:rsid w:val="0034164F"/>
    <w:rsid w:val="00344947"/>
    <w:rsid w:val="00354EF6"/>
    <w:rsid w:val="00355875"/>
    <w:rsid w:val="0035691B"/>
    <w:rsid w:val="00360D41"/>
    <w:rsid w:val="00382948"/>
    <w:rsid w:val="00390F6E"/>
    <w:rsid w:val="003A1516"/>
    <w:rsid w:val="003A1CC1"/>
    <w:rsid w:val="003A5167"/>
    <w:rsid w:val="003B56AF"/>
    <w:rsid w:val="003C68B0"/>
    <w:rsid w:val="003D6DAD"/>
    <w:rsid w:val="003E385A"/>
    <w:rsid w:val="003F52AB"/>
    <w:rsid w:val="0040381C"/>
    <w:rsid w:val="00407C57"/>
    <w:rsid w:val="00422EAA"/>
    <w:rsid w:val="00437767"/>
    <w:rsid w:val="00456EC2"/>
    <w:rsid w:val="00465595"/>
    <w:rsid w:val="004666DA"/>
    <w:rsid w:val="004856C9"/>
    <w:rsid w:val="004861EE"/>
    <w:rsid w:val="004C520C"/>
    <w:rsid w:val="004E2127"/>
    <w:rsid w:val="004F40DB"/>
    <w:rsid w:val="00506E78"/>
    <w:rsid w:val="00515108"/>
    <w:rsid w:val="00533E70"/>
    <w:rsid w:val="00546E4D"/>
    <w:rsid w:val="0055529D"/>
    <w:rsid w:val="005561C4"/>
    <w:rsid w:val="00556474"/>
    <w:rsid w:val="00574C45"/>
    <w:rsid w:val="00585B7D"/>
    <w:rsid w:val="00585CA1"/>
    <w:rsid w:val="00590C49"/>
    <w:rsid w:val="00595AB5"/>
    <w:rsid w:val="005A1695"/>
    <w:rsid w:val="005C6B12"/>
    <w:rsid w:val="005D7C94"/>
    <w:rsid w:val="005E32B1"/>
    <w:rsid w:val="005F1642"/>
    <w:rsid w:val="00600343"/>
    <w:rsid w:val="00605C9D"/>
    <w:rsid w:val="00611FFF"/>
    <w:rsid w:val="00631B7E"/>
    <w:rsid w:val="006405D5"/>
    <w:rsid w:val="00643526"/>
    <w:rsid w:val="00652690"/>
    <w:rsid w:val="00654A7B"/>
    <w:rsid w:val="00664EEE"/>
    <w:rsid w:val="00672DC5"/>
    <w:rsid w:val="006750FF"/>
    <w:rsid w:val="00680249"/>
    <w:rsid w:val="006836D3"/>
    <w:rsid w:val="006936B2"/>
    <w:rsid w:val="006A04DA"/>
    <w:rsid w:val="006A116A"/>
    <w:rsid w:val="006B1E7B"/>
    <w:rsid w:val="006B5396"/>
    <w:rsid w:val="006C0B47"/>
    <w:rsid w:val="006C257A"/>
    <w:rsid w:val="006D3262"/>
    <w:rsid w:val="006D6BF0"/>
    <w:rsid w:val="006E51E8"/>
    <w:rsid w:val="00701E09"/>
    <w:rsid w:val="00720B0D"/>
    <w:rsid w:val="00733862"/>
    <w:rsid w:val="007503C1"/>
    <w:rsid w:val="00763CC6"/>
    <w:rsid w:val="00776006"/>
    <w:rsid w:val="0079511E"/>
    <w:rsid w:val="007B35C2"/>
    <w:rsid w:val="007B7ADC"/>
    <w:rsid w:val="007C6672"/>
    <w:rsid w:val="007D0C24"/>
    <w:rsid w:val="007D22D2"/>
    <w:rsid w:val="007D7F4A"/>
    <w:rsid w:val="007F2FCD"/>
    <w:rsid w:val="007F49E9"/>
    <w:rsid w:val="00800A85"/>
    <w:rsid w:val="00803666"/>
    <w:rsid w:val="0080568E"/>
    <w:rsid w:val="008438AF"/>
    <w:rsid w:val="008440C9"/>
    <w:rsid w:val="0087041E"/>
    <w:rsid w:val="0087052F"/>
    <w:rsid w:val="008721C4"/>
    <w:rsid w:val="008926C0"/>
    <w:rsid w:val="008B3088"/>
    <w:rsid w:val="008B4299"/>
    <w:rsid w:val="008C06AA"/>
    <w:rsid w:val="008C2F82"/>
    <w:rsid w:val="008C6B87"/>
    <w:rsid w:val="008C6E57"/>
    <w:rsid w:val="009041B0"/>
    <w:rsid w:val="009046B6"/>
    <w:rsid w:val="00922743"/>
    <w:rsid w:val="00923950"/>
    <w:rsid w:val="00925C1C"/>
    <w:rsid w:val="009336CD"/>
    <w:rsid w:val="0094232F"/>
    <w:rsid w:val="009477D2"/>
    <w:rsid w:val="00956BBC"/>
    <w:rsid w:val="00971E61"/>
    <w:rsid w:val="009738C6"/>
    <w:rsid w:val="00982DA5"/>
    <w:rsid w:val="009B021E"/>
    <w:rsid w:val="009B08B5"/>
    <w:rsid w:val="009B1E50"/>
    <w:rsid w:val="009D1A1E"/>
    <w:rsid w:val="009D30B5"/>
    <w:rsid w:val="009E0350"/>
    <w:rsid w:val="009E0A83"/>
    <w:rsid w:val="009F2564"/>
    <w:rsid w:val="00A10EE8"/>
    <w:rsid w:val="00A11703"/>
    <w:rsid w:val="00A14854"/>
    <w:rsid w:val="00A15BE4"/>
    <w:rsid w:val="00A32689"/>
    <w:rsid w:val="00A54654"/>
    <w:rsid w:val="00A65F01"/>
    <w:rsid w:val="00A72C9E"/>
    <w:rsid w:val="00A8708E"/>
    <w:rsid w:val="00A8714F"/>
    <w:rsid w:val="00A91BCA"/>
    <w:rsid w:val="00AA548D"/>
    <w:rsid w:val="00AC3902"/>
    <w:rsid w:val="00AD192A"/>
    <w:rsid w:val="00AD5FB9"/>
    <w:rsid w:val="00AE75EC"/>
    <w:rsid w:val="00AF4439"/>
    <w:rsid w:val="00B3744B"/>
    <w:rsid w:val="00B634B8"/>
    <w:rsid w:val="00B772E5"/>
    <w:rsid w:val="00B80237"/>
    <w:rsid w:val="00B95365"/>
    <w:rsid w:val="00BB2C9B"/>
    <w:rsid w:val="00BB67CD"/>
    <w:rsid w:val="00BF579E"/>
    <w:rsid w:val="00C00808"/>
    <w:rsid w:val="00C11E90"/>
    <w:rsid w:val="00C12FAC"/>
    <w:rsid w:val="00C458E5"/>
    <w:rsid w:val="00C74893"/>
    <w:rsid w:val="00C8253E"/>
    <w:rsid w:val="00C846FD"/>
    <w:rsid w:val="00C910F2"/>
    <w:rsid w:val="00CB071E"/>
    <w:rsid w:val="00CC2D97"/>
    <w:rsid w:val="00CC69AB"/>
    <w:rsid w:val="00CD4EA0"/>
    <w:rsid w:val="00CE5EEF"/>
    <w:rsid w:val="00CF561B"/>
    <w:rsid w:val="00CF730E"/>
    <w:rsid w:val="00D06619"/>
    <w:rsid w:val="00D14376"/>
    <w:rsid w:val="00D47B48"/>
    <w:rsid w:val="00D61923"/>
    <w:rsid w:val="00D66A6E"/>
    <w:rsid w:val="00D75E3C"/>
    <w:rsid w:val="00D827DE"/>
    <w:rsid w:val="00D87F2B"/>
    <w:rsid w:val="00D92425"/>
    <w:rsid w:val="00D94FA0"/>
    <w:rsid w:val="00D95978"/>
    <w:rsid w:val="00D97020"/>
    <w:rsid w:val="00DA5753"/>
    <w:rsid w:val="00DA661B"/>
    <w:rsid w:val="00DB120E"/>
    <w:rsid w:val="00DB2A52"/>
    <w:rsid w:val="00DC09D8"/>
    <w:rsid w:val="00DC6324"/>
    <w:rsid w:val="00DD2688"/>
    <w:rsid w:val="00DE0CDF"/>
    <w:rsid w:val="00DE2BF6"/>
    <w:rsid w:val="00E00FC8"/>
    <w:rsid w:val="00E10045"/>
    <w:rsid w:val="00E170D1"/>
    <w:rsid w:val="00E17356"/>
    <w:rsid w:val="00E1776E"/>
    <w:rsid w:val="00E31B20"/>
    <w:rsid w:val="00E44027"/>
    <w:rsid w:val="00E7083F"/>
    <w:rsid w:val="00E74A4A"/>
    <w:rsid w:val="00EB03B6"/>
    <w:rsid w:val="00EB2956"/>
    <w:rsid w:val="00EC4CCC"/>
    <w:rsid w:val="00EC6107"/>
    <w:rsid w:val="00EE2FCE"/>
    <w:rsid w:val="00EE4218"/>
    <w:rsid w:val="00EF17AB"/>
    <w:rsid w:val="00F03420"/>
    <w:rsid w:val="00F12DA3"/>
    <w:rsid w:val="00F164F0"/>
    <w:rsid w:val="00F171F7"/>
    <w:rsid w:val="00F2193F"/>
    <w:rsid w:val="00F46393"/>
    <w:rsid w:val="00F71D7C"/>
    <w:rsid w:val="00F81C94"/>
    <w:rsid w:val="00F923EF"/>
    <w:rsid w:val="00F96324"/>
    <w:rsid w:val="00F97EF6"/>
    <w:rsid w:val="00FB2C5B"/>
    <w:rsid w:val="00FE16A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AE8F1"/>
  <w15:chartTrackingRefBased/>
  <w15:docId w15:val="{7A7137FA-C27A-1645-B300-1248D140A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57D"/>
    <w:pPr>
      <w:spacing w:after="200" w:line="276" w:lineRule="auto"/>
    </w:pPr>
    <w:rPr>
      <w:rFonts w:eastAsiaTheme="minorEastAsia"/>
      <w:kern w:val="0"/>
      <w:sz w:val="22"/>
      <w:szCs w:val="22"/>
      <w:lang w:val="en-US"/>
      <w14:ligatures w14:val="none"/>
    </w:rPr>
  </w:style>
  <w:style w:type="paragraph" w:styleId="Heading1">
    <w:name w:val="heading 1"/>
    <w:basedOn w:val="Normal"/>
    <w:next w:val="Normal"/>
    <w:link w:val="Heading1Char"/>
    <w:uiPriority w:val="9"/>
    <w:qFormat/>
    <w:rsid w:val="009477D2"/>
    <w:pPr>
      <w:keepNext/>
      <w:keepLines/>
      <w:spacing w:before="240" w:after="0" w:line="240" w:lineRule="auto"/>
      <w:jc w:val="center"/>
      <w:outlineLvl w:val="0"/>
    </w:pPr>
    <w:rPr>
      <w:rFonts w:ascii="Times New Roman" w:eastAsiaTheme="majorEastAsia" w:hAnsi="Times New Roman" w:cstheme="majorBidi"/>
      <w:b/>
      <w:color w:val="000000" w:themeColor="text1"/>
      <w:sz w:val="32"/>
      <w:szCs w:val="32"/>
      <w:lang w:val="en-IN" w:eastAsia="en-GB"/>
    </w:rPr>
  </w:style>
  <w:style w:type="paragraph" w:styleId="Heading2">
    <w:name w:val="heading 2"/>
    <w:basedOn w:val="Normal"/>
    <w:next w:val="Normal"/>
    <w:link w:val="Heading2Char"/>
    <w:uiPriority w:val="9"/>
    <w:unhideWhenUsed/>
    <w:qFormat/>
    <w:rsid w:val="002B257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2B257D"/>
    <w:pPr>
      <w:keepNext/>
      <w:keepLines/>
      <w:spacing w:before="160" w:after="80" w:line="278" w:lineRule="auto"/>
      <w:outlineLvl w:val="2"/>
    </w:pPr>
    <w:rPr>
      <w:rFonts w:eastAsiaTheme="majorEastAsia" w:cstheme="majorBidi"/>
      <w:color w:val="2F5496"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2B257D"/>
    <w:pPr>
      <w:keepNext/>
      <w:keepLines/>
      <w:spacing w:before="80" w:after="40" w:line="278" w:lineRule="auto"/>
      <w:outlineLvl w:val="3"/>
    </w:pPr>
    <w:rPr>
      <w:rFonts w:eastAsiaTheme="majorEastAsia" w:cstheme="majorBidi"/>
      <w:i/>
      <w:iCs/>
      <w:color w:val="2F5496" w:themeColor="accent1" w:themeShade="BF"/>
      <w:kern w:val="2"/>
      <w:sz w:val="24"/>
      <w:szCs w:val="24"/>
      <w:lang w:val="en-IN"/>
      <w14:ligatures w14:val="standardContextual"/>
    </w:rPr>
  </w:style>
  <w:style w:type="paragraph" w:styleId="Heading5">
    <w:name w:val="heading 5"/>
    <w:basedOn w:val="Normal"/>
    <w:next w:val="Normal"/>
    <w:link w:val="Heading5Char"/>
    <w:uiPriority w:val="9"/>
    <w:semiHidden/>
    <w:unhideWhenUsed/>
    <w:qFormat/>
    <w:rsid w:val="002B257D"/>
    <w:pPr>
      <w:keepNext/>
      <w:keepLines/>
      <w:spacing w:before="80" w:after="40" w:line="278" w:lineRule="auto"/>
      <w:outlineLvl w:val="4"/>
    </w:pPr>
    <w:rPr>
      <w:rFonts w:eastAsiaTheme="majorEastAsia" w:cstheme="majorBidi"/>
      <w:color w:val="2F5496" w:themeColor="accent1" w:themeShade="BF"/>
      <w:kern w:val="2"/>
      <w:sz w:val="24"/>
      <w:szCs w:val="24"/>
      <w:lang w:val="en-IN"/>
      <w14:ligatures w14:val="standardContextual"/>
    </w:rPr>
  </w:style>
  <w:style w:type="paragraph" w:styleId="Heading6">
    <w:name w:val="heading 6"/>
    <w:basedOn w:val="Normal"/>
    <w:next w:val="Normal"/>
    <w:link w:val="Heading6Char"/>
    <w:uiPriority w:val="9"/>
    <w:semiHidden/>
    <w:unhideWhenUsed/>
    <w:qFormat/>
    <w:rsid w:val="002B257D"/>
    <w:pPr>
      <w:keepNext/>
      <w:keepLines/>
      <w:spacing w:before="40" w:after="0" w:line="278" w:lineRule="auto"/>
      <w:outlineLvl w:val="5"/>
    </w:pPr>
    <w:rPr>
      <w:rFonts w:eastAsiaTheme="majorEastAsia" w:cstheme="majorBidi"/>
      <w:i/>
      <w:iCs/>
      <w:color w:val="595959" w:themeColor="text1" w:themeTint="A6"/>
      <w:kern w:val="2"/>
      <w:sz w:val="24"/>
      <w:szCs w:val="24"/>
      <w:lang w:val="en-IN"/>
      <w14:ligatures w14:val="standardContextual"/>
    </w:rPr>
  </w:style>
  <w:style w:type="paragraph" w:styleId="Heading7">
    <w:name w:val="heading 7"/>
    <w:basedOn w:val="Normal"/>
    <w:next w:val="Normal"/>
    <w:link w:val="Heading7Char"/>
    <w:uiPriority w:val="9"/>
    <w:semiHidden/>
    <w:unhideWhenUsed/>
    <w:qFormat/>
    <w:rsid w:val="002B257D"/>
    <w:pPr>
      <w:keepNext/>
      <w:keepLines/>
      <w:spacing w:before="40" w:after="0" w:line="278" w:lineRule="auto"/>
      <w:outlineLvl w:val="6"/>
    </w:pPr>
    <w:rPr>
      <w:rFonts w:eastAsiaTheme="majorEastAsia" w:cstheme="majorBidi"/>
      <w:color w:val="595959" w:themeColor="text1" w:themeTint="A6"/>
      <w:kern w:val="2"/>
      <w:sz w:val="24"/>
      <w:szCs w:val="24"/>
      <w:lang w:val="en-IN"/>
      <w14:ligatures w14:val="standardContextual"/>
    </w:rPr>
  </w:style>
  <w:style w:type="paragraph" w:styleId="Heading8">
    <w:name w:val="heading 8"/>
    <w:basedOn w:val="Normal"/>
    <w:next w:val="Normal"/>
    <w:link w:val="Heading8Char"/>
    <w:uiPriority w:val="9"/>
    <w:semiHidden/>
    <w:unhideWhenUsed/>
    <w:qFormat/>
    <w:rsid w:val="002B257D"/>
    <w:pPr>
      <w:keepNext/>
      <w:keepLines/>
      <w:spacing w:after="0" w:line="278" w:lineRule="auto"/>
      <w:outlineLvl w:val="7"/>
    </w:pPr>
    <w:rPr>
      <w:rFonts w:eastAsiaTheme="majorEastAsia" w:cstheme="majorBidi"/>
      <w:i/>
      <w:iCs/>
      <w:color w:val="272727" w:themeColor="text1" w:themeTint="D8"/>
      <w:kern w:val="2"/>
      <w:sz w:val="24"/>
      <w:szCs w:val="24"/>
      <w:lang w:val="en-IN"/>
      <w14:ligatures w14:val="standardContextual"/>
    </w:rPr>
  </w:style>
  <w:style w:type="paragraph" w:styleId="Heading9">
    <w:name w:val="heading 9"/>
    <w:basedOn w:val="Normal"/>
    <w:next w:val="Normal"/>
    <w:link w:val="Heading9Char"/>
    <w:uiPriority w:val="9"/>
    <w:semiHidden/>
    <w:unhideWhenUsed/>
    <w:qFormat/>
    <w:rsid w:val="002B257D"/>
    <w:pPr>
      <w:keepNext/>
      <w:keepLines/>
      <w:spacing w:after="0" w:line="278" w:lineRule="auto"/>
      <w:outlineLvl w:val="8"/>
    </w:pPr>
    <w:rPr>
      <w:rFonts w:eastAsiaTheme="majorEastAsia" w:cstheme="majorBidi"/>
      <w:color w:val="272727" w:themeColor="text1" w:themeTint="D8"/>
      <w:kern w:val="2"/>
      <w:sz w:val="24"/>
      <w:szCs w:val="24"/>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77D2"/>
    <w:rPr>
      <w:rFonts w:ascii="Times New Roman" w:eastAsiaTheme="majorEastAsia" w:hAnsi="Times New Roman" w:cstheme="majorBidi"/>
      <w:b/>
      <w:color w:val="000000" w:themeColor="text1"/>
      <w:kern w:val="0"/>
      <w:sz w:val="32"/>
      <w:szCs w:val="32"/>
      <w:lang w:eastAsia="en-GB"/>
      <w14:ligatures w14:val="none"/>
    </w:rPr>
  </w:style>
  <w:style w:type="character" w:customStyle="1" w:styleId="Heading2Char">
    <w:name w:val="Heading 2 Char"/>
    <w:basedOn w:val="DefaultParagraphFont"/>
    <w:link w:val="Heading2"/>
    <w:uiPriority w:val="9"/>
    <w:rsid w:val="002B257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B257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B257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B257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B25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25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25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257D"/>
    <w:rPr>
      <w:rFonts w:eastAsiaTheme="majorEastAsia" w:cstheme="majorBidi"/>
      <w:color w:val="272727" w:themeColor="text1" w:themeTint="D8"/>
    </w:rPr>
  </w:style>
  <w:style w:type="paragraph" w:styleId="Title">
    <w:name w:val="Title"/>
    <w:basedOn w:val="Normal"/>
    <w:next w:val="Normal"/>
    <w:link w:val="TitleChar"/>
    <w:uiPriority w:val="10"/>
    <w:qFormat/>
    <w:rsid w:val="002B257D"/>
    <w:pPr>
      <w:spacing w:after="80" w:line="240" w:lineRule="auto"/>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2B25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257D"/>
    <w:pPr>
      <w:numPr>
        <w:ilvl w:val="1"/>
      </w:numPr>
      <w:spacing w:after="160" w:line="278" w:lineRule="auto"/>
    </w:pPr>
    <w:rPr>
      <w:rFonts w:eastAsiaTheme="majorEastAsia"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2B25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257D"/>
    <w:pPr>
      <w:spacing w:before="160" w:after="160" w:line="278" w:lineRule="auto"/>
      <w:jc w:val="center"/>
    </w:pPr>
    <w:rPr>
      <w:rFonts w:eastAsiaTheme="minorHAnsi"/>
      <w:i/>
      <w:iCs/>
      <w:color w:val="404040" w:themeColor="text1" w:themeTint="BF"/>
      <w:kern w:val="2"/>
      <w:sz w:val="24"/>
      <w:szCs w:val="24"/>
      <w:lang w:val="en-IN"/>
      <w14:ligatures w14:val="standardContextual"/>
    </w:rPr>
  </w:style>
  <w:style w:type="character" w:customStyle="1" w:styleId="QuoteChar">
    <w:name w:val="Quote Char"/>
    <w:basedOn w:val="DefaultParagraphFont"/>
    <w:link w:val="Quote"/>
    <w:uiPriority w:val="29"/>
    <w:rsid w:val="002B257D"/>
    <w:rPr>
      <w:i/>
      <w:iCs/>
      <w:color w:val="404040" w:themeColor="text1" w:themeTint="BF"/>
    </w:rPr>
  </w:style>
  <w:style w:type="paragraph" w:styleId="ListParagraph">
    <w:name w:val="List Paragraph"/>
    <w:basedOn w:val="Normal"/>
    <w:uiPriority w:val="34"/>
    <w:qFormat/>
    <w:rsid w:val="002B257D"/>
    <w:pPr>
      <w:spacing w:after="160" w:line="278" w:lineRule="auto"/>
      <w:ind w:left="720"/>
      <w:contextualSpacing/>
    </w:pPr>
    <w:rPr>
      <w:rFonts w:eastAsiaTheme="minorHAnsi"/>
      <w:kern w:val="2"/>
      <w:sz w:val="24"/>
      <w:szCs w:val="24"/>
      <w:lang w:val="en-IN"/>
      <w14:ligatures w14:val="standardContextual"/>
    </w:rPr>
  </w:style>
  <w:style w:type="character" w:styleId="IntenseEmphasis">
    <w:name w:val="Intense Emphasis"/>
    <w:basedOn w:val="DefaultParagraphFont"/>
    <w:uiPriority w:val="21"/>
    <w:qFormat/>
    <w:rsid w:val="002B257D"/>
    <w:rPr>
      <w:i/>
      <w:iCs/>
      <w:color w:val="2F5496" w:themeColor="accent1" w:themeShade="BF"/>
    </w:rPr>
  </w:style>
  <w:style w:type="paragraph" w:styleId="IntenseQuote">
    <w:name w:val="Intense Quote"/>
    <w:basedOn w:val="Normal"/>
    <w:next w:val="Normal"/>
    <w:link w:val="IntenseQuoteChar"/>
    <w:uiPriority w:val="30"/>
    <w:qFormat/>
    <w:rsid w:val="002B257D"/>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eastAsiaTheme="minorHAnsi"/>
      <w:i/>
      <w:iCs/>
      <w:color w:val="2F5496" w:themeColor="accent1" w:themeShade="BF"/>
      <w:kern w:val="2"/>
      <w:sz w:val="24"/>
      <w:szCs w:val="24"/>
      <w:lang w:val="en-IN"/>
      <w14:ligatures w14:val="standardContextual"/>
    </w:rPr>
  </w:style>
  <w:style w:type="character" w:customStyle="1" w:styleId="IntenseQuoteChar">
    <w:name w:val="Intense Quote Char"/>
    <w:basedOn w:val="DefaultParagraphFont"/>
    <w:link w:val="IntenseQuote"/>
    <w:uiPriority w:val="30"/>
    <w:rsid w:val="002B257D"/>
    <w:rPr>
      <w:i/>
      <w:iCs/>
      <w:color w:val="2F5496" w:themeColor="accent1" w:themeShade="BF"/>
    </w:rPr>
  </w:style>
  <w:style w:type="character" w:styleId="IntenseReference">
    <w:name w:val="Intense Reference"/>
    <w:basedOn w:val="DefaultParagraphFont"/>
    <w:uiPriority w:val="32"/>
    <w:qFormat/>
    <w:rsid w:val="002B257D"/>
    <w:rPr>
      <w:b/>
      <w:bCs/>
      <w:smallCaps/>
      <w:color w:val="2F5496" w:themeColor="accent1" w:themeShade="BF"/>
      <w:spacing w:val="5"/>
    </w:rPr>
  </w:style>
  <w:style w:type="paragraph" w:styleId="FootnoteText">
    <w:name w:val="footnote text"/>
    <w:basedOn w:val="Normal"/>
    <w:link w:val="FootnoteTextChar"/>
    <w:uiPriority w:val="99"/>
    <w:semiHidden/>
    <w:unhideWhenUsed/>
    <w:rsid w:val="002B257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B257D"/>
    <w:rPr>
      <w:rFonts w:eastAsiaTheme="minorEastAsia"/>
      <w:kern w:val="0"/>
      <w:sz w:val="20"/>
      <w:szCs w:val="20"/>
      <w:lang w:val="en-US"/>
      <w14:ligatures w14:val="none"/>
    </w:rPr>
  </w:style>
  <w:style w:type="character" w:styleId="FootnoteReference">
    <w:name w:val="footnote reference"/>
    <w:basedOn w:val="DefaultParagraphFont"/>
    <w:uiPriority w:val="99"/>
    <w:semiHidden/>
    <w:unhideWhenUsed/>
    <w:rsid w:val="002B257D"/>
    <w:rPr>
      <w:vertAlign w:val="superscript"/>
    </w:rPr>
  </w:style>
  <w:style w:type="character" w:customStyle="1" w:styleId="ql-bold-700">
    <w:name w:val="ql-bold-700"/>
    <w:basedOn w:val="DefaultParagraphFont"/>
    <w:rsid w:val="006405D5"/>
  </w:style>
  <w:style w:type="paragraph" w:customStyle="1" w:styleId="ql-align-justify">
    <w:name w:val="ql-align-justify"/>
    <w:basedOn w:val="Normal"/>
    <w:rsid w:val="006405D5"/>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character" w:customStyle="1" w:styleId="apple-converted-space">
    <w:name w:val="apple-converted-space"/>
    <w:basedOn w:val="DefaultParagraphFont"/>
    <w:rsid w:val="006405D5"/>
  </w:style>
  <w:style w:type="paragraph" w:styleId="NormalWeb">
    <w:name w:val="Normal (Web)"/>
    <w:basedOn w:val="Normal"/>
    <w:uiPriority w:val="99"/>
    <w:unhideWhenUsed/>
    <w:rsid w:val="00556474"/>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character" w:styleId="Strong">
    <w:name w:val="Strong"/>
    <w:basedOn w:val="DefaultParagraphFont"/>
    <w:uiPriority w:val="22"/>
    <w:qFormat/>
    <w:rsid w:val="00556474"/>
    <w:rPr>
      <w:b/>
      <w:bCs/>
    </w:rPr>
  </w:style>
  <w:style w:type="character" w:styleId="Emphasis">
    <w:name w:val="Emphasis"/>
    <w:basedOn w:val="DefaultParagraphFont"/>
    <w:uiPriority w:val="20"/>
    <w:qFormat/>
    <w:rsid w:val="003A1516"/>
    <w:rPr>
      <w:i/>
      <w:iCs/>
    </w:rPr>
  </w:style>
  <w:style w:type="character" w:styleId="Hyperlink">
    <w:name w:val="Hyperlink"/>
    <w:basedOn w:val="DefaultParagraphFont"/>
    <w:uiPriority w:val="99"/>
    <w:unhideWhenUsed/>
    <w:rsid w:val="00D14376"/>
    <w:rPr>
      <w:color w:val="0000FF"/>
      <w:u w:val="single"/>
    </w:rPr>
  </w:style>
  <w:style w:type="character" w:styleId="UnresolvedMention">
    <w:name w:val="Unresolved Mention"/>
    <w:basedOn w:val="DefaultParagraphFont"/>
    <w:uiPriority w:val="99"/>
    <w:semiHidden/>
    <w:unhideWhenUsed/>
    <w:rsid w:val="009336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labour.gov.in/" TargetMode="External"/><Relationship Id="rId1" Type="http://schemas.openxmlformats.org/officeDocument/2006/relationships/hyperlink" Target="mailto:diksha.bsc@nliu.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F12B5A-29B8-E642-AB2B-1EFAB49B4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11</Pages>
  <Words>3860</Words>
  <Characters>27021</Characters>
  <Application>Microsoft Office Word</Application>
  <DocSecurity>0</DocSecurity>
  <Lines>337</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dc:creator>
  <cp:keywords/>
  <dc:description/>
  <cp:lastModifiedBy>Editor</cp:lastModifiedBy>
  <cp:revision>257</cp:revision>
  <dcterms:created xsi:type="dcterms:W3CDTF">2026-02-25T14:42:00Z</dcterms:created>
  <dcterms:modified xsi:type="dcterms:W3CDTF">2026-03-07T18:21:00Z</dcterms:modified>
</cp:coreProperties>
</file>